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pPr>
        <w:pStyle w:val="Heading1"/>
      </w:pPr>
      <w:r>
        <w:t>Section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restore critical services after a disruptive event?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maintain backup communication channels for crisis coordination?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Describe your disaster recovery plan.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Section 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How do you assess regional concentration risk for critical services?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Do you maintain alternate workspace arrangements for office disruptions?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8640"/>
            <w:gridSpan w:val="2"/>
          </w:tcPr>
          <w:p>
            <w:r>
              <w:t>How do you prioritize manual workarounds during system outages?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