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Continuity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r>
        <w:t>1. How do you test business continuity procedures?</w:t>
      </w:r>
    </w:p>
    <w:p/>
    <w:p>
      <w:r>
        <w:t>2. Describe your supply chain contingency planning process.</w:t>
      </w:r>
    </w:p>
    <w:p/>
    <w:p>
      <w:r>
        <w:t>3. Describe your recovery time and recovery point objectives.</w:t>
      </w:r>
    </w:p>
    <w:p/>
    <w:p>
      <w:r>
        <w:t>4. How frequently do you validate emergency contact trees?</w:t>
      </w:r>
    </w:p>
    <w:p/>
    <w:p>
      <w:r>
        <w:t>5. Do you maintain backup communication channels for crisis coordination?</w:t>
      </w:r>
    </w:p>
    <w:p/>
    <w:p>
      <w:r>
        <w:t>6. How do you assess regional concentration risk for critical services?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