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Business Continuity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ensure availability during infrastructure failures?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backup communication channels for crisis coordination?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crisis communication process.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Narrative Responses</w:t>
      </w:r>
    </w:p>
    <w:p>
      <w:r>
        <w:t>1. How do you restore critical services after a disruptive event?</w:t>
      </w:r>
    </w:p>
    <w:p/>
    <w:p>
      <w:r>
        <w:t>2. How do you assess regional concentration risk for critical services?</w:t>
      </w:r>
    </w:p>
    <w:p/>
    <w:p>
      <w:r>
        <w:t>3. Do you maintain alternate workspace arrangements for office disruptions?</w:t>
      </w:r>
    </w:p>
    <w:p/>
    <w:p>
      <w:pPr>
        <w:pStyle w:val="Heading1"/>
      </w:pPr>
      <w:r>
        <w:t>Follow-up Rows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disaster recovery plan.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prioritize manual workarounds during system outages?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