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Management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VEN-01</w:t>
            </w:r>
          </w:p>
        </w:tc>
        <w:tc>
          <w:tcPr>
            <w:tcW w:type="dxa" w:w="2160"/>
          </w:tcPr>
          <w:p>
            <w:r>
              <w:t>Primary Contact Email: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VEN-02</w:t>
            </w:r>
          </w:p>
        </w:tc>
        <w:tc>
          <w:tcPr>
            <w:tcW w:type="dxa" w:w="2160"/>
          </w:tcPr>
          <w:p>
            <w:r>
              <w:t>How do you assess vendor incidents that affect customer services?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VEN-03</w:t>
            </w:r>
          </w:p>
        </w:tc>
        <w:tc>
          <w:tcPr>
            <w:tcW w:type="dxa" w:w="2160"/>
          </w:tcPr>
          <w:p>
            <w:r>
              <w:t>Vendor Exit Coordinator: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VEN-04</w:t>
            </w:r>
          </w:p>
        </w:tc>
        <w:tc>
          <w:tcPr>
            <w:tcW w:type="dxa" w:w="2160"/>
          </w:tcPr>
          <w:p>
            <w:r>
              <w:t>Do you maintain minimum security control baselines for vendors?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VEN-05</w:t>
            </w:r>
          </w:p>
        </w:tc>
        <w:tc>
          <w:tcPr>
            <w:tcW w:type="dxa" w:w="2160"/>
          </w:tcPr>
          <w:p>
            <w:r>
              <w:t>Describe your third-party risk management process.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VEN-06</w:t>
            </w:r>
          </w:p>
        </w:tc>
        <w:tc>
          <w:tcPr>
            <w:tcW w:type="dxa" w:w="2160"/>
          </w:tcPr>
          <w:p>
            <w:r>
              <w:t>How do you handle vendors that refuse standard contractual terms?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VEN-07</w:t>
            </w:r>
          </w:p>
        </w:tc>
        <w:tc>
          <w:tcPr>
            <w:tcW w:type="dxa" w:w="2160"/>
          </w:tcPr>
          <w:p>
            <w:r>
              <w:t>Do you require independent assurance reports from high-risk vendors?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