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Management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p>
      <w:pPr>
        <w:pStyle w:val="Heading1"/>
      </w:pPr>
      <w:r>
        <w:t>Section 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How do you assess vendor incidents that affect customer services?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Do you maintain minimum security control baselines for vendors?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Describe your third-party risk management process.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Section 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How do you handle vendors that refuse standard contractual terms?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Do you require independent assurance reports from high-risk vendors?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How do you review vendor concentration risk?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