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Vendor Management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monitor vendor performance and compliance?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minimum security control baselines for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offboarding process for third-party service providers.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Narrative Responses</w:t>
      </w:r>
    </w:p>
    <w:p>
      <w:r>
        <w:t>1. How do you assess vendor incidents that affect customer services?</w:t>
      </w:r>
    </w:p>
    <w:p/>
    <w:p>
      <w:r>
        <w:t>2. How do you handle vendors that refuse standard contractual terms?</w:t>
      </w:r>
    </w:p>
    <w:p/>
    <w:p>
      <w:r>
        <w:t>3. Do you require independent assurance reports from high-risk vendors?</w:t>
      </w:r>
    </w:p>
    <w:p/>
    <w:p>
      <w:pPr>
        <w:pStyle w:val="Heading1"/>
      </w:pPr>
      <w:r>
        <w:t>Follow-up Rows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third-party risk management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review vendor concentration risk?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