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02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CON-01</w:t>
            </w:r>
          </w:p>
        </w:tc>
        <w:tc>
          <w:tcPr>
            <w:tcW w:type="dxa" w:w="2160"/>
          </w:tcPr>
          <w:p>
            <w:r>
              <w:t>How do you assess vendor incidents that affect customer services?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CON-02</w:t>
            </w:r>
          </w:p>
        </w:tc>
        <w:tc>
          <w:tcPr>
            <w:tcW w:type="dxa" w:w="2160"/>
          </w:tcPr>
          <w:p>
            <w:r>
              <w:t>Describe your personal data retention policy.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CON-03</w:t>
            </w:r>
          </w:p>
        </w:tc>
        <w:tc>
          <w:tcPr>
            <w:tcW w:type="dxa" w:w="2160"/>
          </w:tcPr>
          <w:p>
            <w:r>
              <w:t>How often do you review AI-generated response citation integrity checks before production release?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CON-04</w:t>
            </w:r>
          </w:p>
        </w:tc>
        <w:tc>
          <w:tcPr>
            <w:tcW w:type="dxa" w:w="2160"/>
          </w:tcPr>
          <w:p>
            <w:r>
              <w:t>Do you maintain third-party LLM provider continuity drills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CON-05</w:t>
            </w:r>
          </w:p>
        </w:tc>
        <w:tc>
          <w:tcPr>
            <w:tcW w:type="dxa" w:w="2160"/>
          </w:tcPr>
          <w:p>
            <w:r>
              <w:t>Have you achieved SOC 2 Type II &amp; ISO 27001 certification?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CON-06</w:t>
            </w:r>
          </w:p>
        </w:tc>
        <w:tc>
          <w:tcPr>
            <w:tcW w:type="dxa" w:w="2160"/>
          </w:tcPr>
          <w:p>
            <w:r>
              <w:t>How do you manage consent records for marketing communications?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CON-07</w:t>
            </w:r>
          </w:p>
        </w:tc>
        <w:tc>
          <w:tcPr>
            <w:tcW w:type="dxa" w:w="2160"/>
          </w:tcPr>
          <w:p>
            <w:r>
              <w:t>Describe your lawful basis review process for processing personal data.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CON-08</w:t>
            </w:r>
          </w:p>
        </w:tc>
        <w:tc>
          <w:tcPr>
            <w:tcW w:type="dxa" w:w="2160"/>
          </w:tcPr>
          <w:p>
            <w:r>
              <w:t>How do you validate context-window truncation risk controls for high-risk client requests?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