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05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Describe your third-party risk management process.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How do you govern regional model rollback playbooks at least quarterly?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Do you formally document retrieval corpus poisoning detection controls at least quarterly?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What controls do you have for high-risk answer human-approval thresholds at least quarterly?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What controls do you have for automated legal hold propagation for generated content for customer-specific questionnaires?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Are data centers reviewed for physical security controls annually?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Describe your recovery time and recovery point objectives.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Data retention: how long (in months/years) do you keep PII?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Do you scan source code for exposed credentials before release?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How are policy exceptions handled?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Do you formally document agent memory retention minimization for high-risk client requests?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Have you achieved SOC 2 Type II &amp; ISO 27001 certification?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