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16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CON-01</w:t>
            </w:r>
          </w:p>
        </w:tc>
        <w:tc>
          <w:tcPr>
            <w:tcW w:type="dxa" w:w="2160"/>
          </w:tcPr>
          <w:p>
            <w:r>
              <w:t>How do you validate tenant-level prompt injection response runbooks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Do you conduct internal audits?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How do you validate cross-tenant synthetic data separation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How often do you review non-production shadow environment attestations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Do you use canary or blue-green deployments for major releases?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Do you have 24/7 monitoring?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How do you govern AI-generated response citation integrity checks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CON-08</w:t>
            </w:r>
          </w:p>
        </w:tc>
        <w:tc>
          <w:tcPr>
            <w:tcW w:type="dxa" w:w="2160"/>
          </w:tcPr>
          <w:p>
            <w:r>
              <w:t>How do you handle backups?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