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19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Ref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Response</w:t>
            </w:r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OPE-01</w:t>
            </w:r>
          </w:p>
        </w:tc>
        <w:tc>
          <w:tcPr>
            <w:tcW w:type="dxa" w:w="2160"/>
          </w:tcPr>
          <w:p>
            <w:r>
              <w:t>How often do you review non-production shadow environment attestations during incident conditions?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OPE-02</w:t>
            </w:r>
          </w:p>
        </w:tc>
        <w:tc>
          <w:tcPr>
            <w:tcW w:type="dxa" w:w="2160"/>
          </w:tcPr>
          <w:p>
            <w:r>
              <w:t>How do you handle security awareness training?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OPE-03</w:t>
            </w:r>
          </w:p>
        </w:tc>
        <w:tc>
          <w:tcPr>
            <w:tcW w:type="dxa" w:w="2160"/>
          </w:tcPr>
          <w:p>
            <w:r>
              <w:t>Entity Name: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OPE-04</w:t>
            </w:r>
          </w:p>
        </w:tc>
        <w:tc>
          <w:tcPr>
            <w:tcW w:type="dxa" w:w="2160"/>
          </w:tcPr>
          <w:p>
            <w:r>
              <w:t>How do you govern AI-generated response citation integrity checks for each critical workflow?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OPE-05</w:t>
            </w:r>
          </w:p>
        </w:tc>
        <w:tc>
          <w:tcPr>
            <w:tcW w:type="dxa" w:w="2160"/>
          </w:tcPr>
          <w:p>
            <w:r>
              <w:t>How do you plan and announce customer maintenance windows?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OPE-06</w:t>
            </w:r>
          </w:p>
        </w:tc>
        <w:tc>
          <w:tcPr>
            <w:tcW w:type="dxa" w:w="2160"/>
          </w:tcPr>
          <w:p>
            <w:r>
              <w:t>How often do you review AI-generated response citation integrity checks for customer-specific questionnaires?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OPE-07</w:t>
            </w:r>
          </w:p>
        </w:tc>
        <w:tc>
          <w:tcPr>
            <w:tcW w:type="dxa" w:w="2160"/>
          </w:tcPr>
          <w:p>
            <w:r>
              <w:t>Please provide a detailed and comprehensive description of your organization's approach to vulnerability management and patching, including any relevant policies, procedures, tools, frameworks, and third-party services that you use, as well as how these are monitored, audited, and updated over time.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OPE-08</w:t>
            </w:r>
          </w:p>
        </w:tc>
        <w:tc>
          <w:tcPr>
            <w:tcW w:type="dxa" w:w="2160"/>
          </w:tcPr>
          <w:p>
            <w:r>
              <w:t>What is your process for non-production shadow environment attestations before production release?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OPE-09</w:t>
            </w:r>
          </w:p>
        </w:tc>
        <w:tc>
          <w:tcPr>
            <w:tcW w:type="dxa" w:w="2160"/>
          </w:tcPr>
          <w:p>
            <w:r>
              <w:t>Do you formally document automated legal hold propagation for generated content for customer-specific questionnaires?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OPE-10</w:t>
            </w:r>
          </w:p>
        </w:tc>
        <w:tc>
          <w:tcPr>
            <w:tcW w:type="dxa" w:w="2160"/>
          </w:tcPr>
          <w:p>
            <w:r>
              <w:t>How often do you review token budget abuse detection and throttling across all regulated environments?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