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20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Ref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Response</w:t>
            </w:r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OPE-01</w:t>
            </w:r>
          </w:p>
        </w:tc>
        <w:tc>
          <w:tcPr>
            <w:tcW w:type="dxa" w:w="2160"/>
          </w:tcPr>
          <w:p>
            <w:r>
              <w:t>Do you perform penetration testing?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OPE-02</w:t>
            </w:r>
          </w:p>
        </w:tc>
        <w:tc>
          <w:tcPr>
            <w:tcW w:type="dxa" w:w="2160"/>
          </w:tcPr>
          <w:p>
            <w:r>
              <w:t>What industry does your company operate in?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OPE-03</w:t>
            </w:r>
          </w:p>
        </w:tc>
        <w:tc>
          <w:tcPr>
            <w:tcW w:type="dxa" w:w="2160"/>
          </w:tcPr>
          <w:p>
            <w:r>
              <w:t>How do you govern multi-model arbitration override governance for customer-specific questionnaires?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OPE-04</w:t>
            </w:r>
          </w:p>
        </w:tc>
        <w:tc>
          <w:tcPr>
            <w:tcW w:type="dxa" w:w="2160"/>
          </w:tcPr>
          <w:p>
            <w:r>
              <w:t>6. How do you restore critical services after a disruptive event?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OPE-05</w:t>
            </w:r>
          </w:p>
        </w:tc>
        <w:tc>
          <w:tcPr>
            <w:tcW w:type="dxa" w:w="2160"/>
          </w:tcPr>
          <w:p>
            <w:r>
              <w:t>Legal Entity Name: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OPE-06</w:t>
            </w:r>
          </w:p>
        </w:tc>
        <w:tc>
          <w:tcPr>
            <w:tcW w:type="dxa" w:w="2160"/>
          </w:tcPr>
          <w:p>
            <w:r>
              <w:t>Do you maintain cross-tenant synthetic data separation before production release?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OPE-07</w:t>
            </w:r>
          </w:p>
        </w:tc>
        <w:tc>
          <w:tcPr>
            <w:tcW w:type="dxa" w:w="2160"/>
          </w:tcPr>
          <w:p>
            <w:r>
              <w:t>Describe your approach to cross-tenant synthetic data separation for customer-specific questionnaires?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