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21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Do you formally document context-window truncation risk controls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for third-party support personnel?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context-window truncation risk controls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multi-model arbitration override governance before production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canary or blue-green deployments for major releases?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multi-model arbitration override governance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privileged access across production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non-production shadow environment attestations across all regulated environments?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How do you ensure availability during infrastructure failures?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agent memory retention minimization for high-risk client requests?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