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22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PRI-01</w:t>
            </w:r>
          </w:p>
        </w:tc>
        <w:tc>
          <w:tcPr>
            <w:tcW w:type="dxa" w:w="2160"/>
          </w:tcPr>
          <w:p>
            <w:r>
              <w:t>Describe your approach to regional model rollback playbooks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PRI-02</w:t>
            </w:r>
          </w:p>
        </w:tc>
        <w:tc>
          <w:tcPr>
            <w:tcW w:type="dxa" w:w="2160"/>
          </w:tcPr>
          <w:p>
            <w:r>
              <w:t>How do you validate runtime policy drift detection for copilots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PRI-03</w:t>
            </w:r>
          </w:p>
        </w:tc>
        <w:tc>
          <w:tcPr>
            <w:tcW w:type="dxa" w:w="2160"/>
          </w:tcPr>
          <w:p>
            <w:r>
              <w:t>Procurement Risk Owner: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PRI-04</w:t>
            </w:r>
          </w:p>
        </w:tc>
        <w:tc>
          <w:tcPr>
            <w:tcW w:type="dxa" w:w="2160"/>
          </w:tcPr>
          <w:p>
            <w:r>
              <w:t>What is your process for automated legal hold propagation for generated content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PRI-05</w:t>
            </w:r>
          </w:p>
        </w:tc>
        <w:tc>
          <w:tcPr>
            <w:tcW w:type="dxa" w:w="2160"/>
          </w:tcPr>
          <w:p>
            <w:r>
              <w:t>What is your process for automated legal hold propagation for generated content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PRI-06</w:t>
            </w:r>
          </w:p>
        </w:tc>
        <w:tc>
          <w:tcPr>
            <w:tcW w:type="dxa" w:w="2160"/>
          </w:tcPr>
          <w:p>
            <w:r>
              <w:t>4. How do you track and resolve service incidents?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PRI-07</w:t>
            </w:r>
          </w:p>
        </w:tc>
        <w:tc>
          <w:tcPr>
            <w:tcW w:type="dxa" w:w="2160"/>
          </w:tcPr>
          <w:p>
            <w:r>
              <w:t>How do you review new AI features for privacy impact?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PRI-08</w:t>
            </w:r>
          </w:p>
        </w:tc>
        <w:tc>
          <w:tcPr>
            <w:tcW w:type="dxa" w:w="2160"/>
          </w:tcPr>
          <w:p>
            <w:r>
              <w:t>What cloud provider do you use?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PRI-09</w:t>
            </w:r>
          </w:p>
        </w:tc>
        <w:tc>
          <w:tcPr>
            <w:tcW w:type="dxa" w:w="2160"/>
          </w:tcPr>
          <w:p>
            <w:r>
              <w:t>Describe your approach to cross-tenant synthetic data separation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