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23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OPE-01</w:t>
            </w:r>
          </w:p>
        </w:tc>
        <w:tc>
          <w:tcPr>
            <w:tcW w:type="dxa" w:w="2160"/>
          </w:tcPr>
          <w:p>
            <w:r>
              <w:t>Come gestite la risposta agli incidenti di sicurezza?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OPE-02</w:t>
            </w:r>
          </w:p>
        </w:tc>
        <w:tc>
          <w:tcPr>
            <w:tcW w:type="dxa" w:w="2160"/>
          </w:tcPr>
          <w:p>
            <w:r>
              <w:t>How do you govern AI-generated response citation integrity checks across all regulated environments?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OPE-03</w:t>
            </w:r>
          </w:p>
        </w:tc>
        <w:tc>
          <w:tcPr>
            <w:tcW w:type="dxa" w:w="2160"/>
          </w:tcPr>
          <w:p>
            <w:r>
              <w:t>Do you formally document cross-language answer consistency scoring for each critical workflow?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OPE-04</w:t>
            </w:r>
          </w:p>
        </w:tc>
        <w:tc>
          <w:tcPr>
            <w:tcW w:type="dxa" w:w="2160"/>
          </w:tcPr>
          <w:p>
            <w:r>
              <w:t>How often do you review non-production shadow environment attestations across all regulated environments?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OPE-05</w:t>
            </w:r>
          </w:p>
        </w:tc>
        <w:tc>
          <w:tcPr>
            <w:tcW w:type="dxa" w:w="2160"/>
          </w:tcPr>
          <w:p>
            <w:r>
              <w:t>How do you handle security in serverless architectures?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OPE-06</w:t>
            </w:r>
          </w:p>
        </w:tc>
        <w:tc>
          <w:tcPr>
            <w:tcW w:type="dxa" w:w="2160"/>
          </w:tcPr>
          <w:p>
            <w:r>
              <w:t>What controls do you have for token budget abuse detection and throttling during incident conditions?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OPE-07</w:t>
            </w:r>
          </w:p>
        </w:tc>
        <w:tc>
          <w:tcPr>
            <w:tcW w:type="dxa" w:w="2160"/>
          </w:tcPr>
          <w:p>
            <w:r>
              <w:t>Release Manager: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OPE-08</w:t>
            </w:r>
          </w:p>
        </w:tc>
        <w:tc>
          <w:tcPr>
            <w:tcW w:type="dxa" w:w="2160"/>
          </w:tcPr>
          <w:p>
            <w:r>
              <w:t>How do you validate context-window truncation risk controls as part of onboarding and renewals?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OPE-09</w:t>
            </w:r>
          </w:p>
        </w:tc>
        <w:tc>
          <w:tcPr>
            <w:tcW w:type="dxa" w:w="2160"/>
          </w:tcPr>
          <w:p>
            <w:r>
              <w:t>Please provide a detailed and comprehensive description of your organization's approach to incident response and breach notification, including any relevant policies, procedures, tools, frameworks, and third-party services that you use, as well as how these are monitored, audited, and updated over time.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