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25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often do you review context-window truncation risk controls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What access management framework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Do you formally document high-risk answer human-approval thresholds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do you review vendor concentration risk?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Do you maintain cross-language answer consistency scoring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Describe your approach to cross-tenant synthetic data separation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Describe your recovery time and recovery point objectives.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