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28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Ref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Response</w:t>
            </w:r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SEC-01</w:t>
            </w:r>
          </w:p>
        </w:tc>
        <w:tc>
          <w:tcPr>
            <w:tcW w:type="dxa" w:w="2160"/>
          </w:tcPr>
          <w:p>
            <w:r>
              <w:t>How do you manage production deployments?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SEC-02</w:t>
            </w:r>
          </w:p>
        </w:tc>
        <w:tc>
          <w:tcPr>
            <w:tcW w:type="dxa" w:w="2160"/>
          </w:tcPr>
          <w:p>
            <w:r>
              <w:t>Continuity Contact Email: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SEC-03</w:t>
            </w:r>
          </w:p>
        </w:tc>
        <w:tc>
          <w:tcPr>
            <w:tcW w:type="dxa" w:w="2160"/>
          </w:tcPr>
          <w:p>
            <w:r>
              <w:t>How do you handle security awareness training?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SEC-04</w:t>
            </w:r>
          </w:p>
        </w:tc>
        <w:tc>
          <w:tcPr>
            <w:tcW w:type="dxa" w:w="2160"/>
          </w:tcPr>
          <w:p>
            <w:r>
              <w:t>How do you evaluate fourth-party risk disclosures?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SEC-05</w:t>
            </w:r>
          </w:p>
        </w:tc>
        <w:tc>
          <w:tcPr>
            <w:tcW w:type="dxa" w:w="2160"/>
          </w:tcPr>
          <w:p>
            <w:r>
              <w:t>How do you govern runtime policy drift detection for copilots at least quarterly?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SEC-06</w:t>
            </w:r>
          </w:p>
        </w:tc>
        <w:tc>
          <w:tcPr>
            <w:tcW w:type="dxa" w:w="2160"/>
          </w:tcPr>
          <w:p>
            <w:r>
              <w:t>Describe your approach to token budget abuse detection and throttling for each critical workflow?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SEC-07</w:t>
            </w:r>
          </w:p>
        </w:tc>
        <w:tc>
          <w:tcPr>
            <w:tcW w:type="dxa" w:w="2160"/>
          </w:tcPr>
          <w:p>
            <w:r>
              <w:t>How do you validate third-party LLM provider continuity drills as part of onboarding and renewals?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SEC-08</w:t>
            </w:r>
          </w:p>
        </w:tc>
        <w:tc>
          <w:tcPr>
            <w:tcW w:type="dxa" w:w="2160"/>
          </w:tcPr>
          <w:p>
            <w:r>
              <w:t>Describe your approach to AI-generated response citation integrity checks during incident conditions?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SEC-09</w:t>
            </w:r>
          </w:p>
        </w:tc>
        <w:tc>
          <w:tcPr>
            <w:tcW w:type="dxa" w:w="2160"/>
          </w:tcPr>
          <w:p>
            <w:r>
              <w:t>How do you validate retrieval corpus poisoning detection controls for high-risk client requests?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