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33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SEC-01</w:t>
            </w:r>
          </w:p>
        </w:tc>
        <w:tc>
          <w:tcPr>
            <w:tcW w:type="dxa" w:w="2160"/>
          </w:tcPr>
          <w:p>
            <w:r>
              <w:t>Who is the CEO of your company?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SEC-02</w:t>
            </w:r>
          </w:p>
        </w:tc>
        <w:tc>
          <w:tcPr>
            <w:tcW w:type="dxa" w:w="2160"/>
          </w:tcPr>
          <w:p>
            <w:r>
              <w:t>Do you use cookies or similar tracking technologies on customer-facing sites?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SEC-03</w:t>
            </w:r>
          </w:p>
        </w:tc>
        <w:tc>
          <w:tcPr>
            <w:tcW w:type="dxa" w:w="2160"/>
          </w:tcPr>
          <w:p>
            <w:r>
              <w:t>Do you share data with third parties?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SEC-04</w:t>
            </w:r>
          </w:p>
        </w:tc>
        <w:tc>
          <w:tcPr>
            <w:tcW w:type="dxa" w:w="2160"/>
          </w:tcPr>
          <w:p>
            <w:r>
              <w:t>Describe your approach to high-risk answer human-approval thresholds across all regulated environments?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SEC-05</w:t>
            </w:r>
          </w:p>
        </w:tc>
        <w:tc>
          <w:tcPr>
            <w:tcW w:type="dxa" w:w="2160"/>
          </w:tcPr>
          <w:p>
            <w:r>
              <w:t>Describe your approach to non-production shadow environment attestations for customer-specific questionnaires?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SEC-06</w:t>
            </w:r>
          </w:p>
        </w:tc>
        <w:tc>
          <w:tcPr>
            <w:tcW w:type="dxa" w:w="2160"/>
          </w:tcPr>
          <w:p>
            <w:r>
              <w:t>What controls do you have for third-party LLM provider continuity drills during incident conditions?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SEC-07</w:t>
            </w:r>
          </w:p>
        </w:tc>
        <w:tc>
          <w:tcPr>
            <w:tcW w:type="dxa" w:w="2160"/>
          </w:tcPr>
          <w:p>
            <w:r>
              <w:t>Capacity Planning Contact: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SEC-08</w:t>
            </w:r>
          </w:p>
        </w:tc>
        <w:tc>
          <w:tcPr>
            <w:tcW w:type="dxa" w:w="2160"/>
          </w:tcPr>
          <w:p>
            <w:r>
              <w:t>Do you maintain tenant-level prompt injection response runbooks at least quarterly?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SEC-09</w:t>
            </w:r>
          </w:p>
        </w:tc>
        <w:tc>
          <w:tcPr>
            <w:tcW w:type="dxa" w:w="2160"/>
          </w:tcPr>
          <w:p>
            <w:r>
              <w:t>How do you govern token budget abuse detection and throttling for customer-specific questionnaires?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How do you evaluate fourth-party risk disclosures?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