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38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6. How do you secure laptops and mobile devices used by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Do you formally document context-window truncation risk controls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What is your process for context-window truncation risk controls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What controls do you have for cross-language answer consistency scoring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How do you track and resolve service incidents?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4. How do you track and resolve service incidents?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How often do you review context-window truncation risk controls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Do you formally document non-production shadow environment attestations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9. How do you evaluate fourth-party risk disclosures?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10. Do you maintain AI-generated response citation integrity checks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11. Describe your deletion workflow for customer records.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12. Operations Contact Email: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