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Random Batch Questionnaire 39</w:t>
      </w:r>
    </w:p>
    <w:p>
      <w:r>
        <w:t>This file intentionally mixes knowledge-base questions and new unseen prompts for stress testing.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Domain</w:t>
            </w:r>
          </w:p>
        </w:tc>
        <w:tc>
          <w:tcPr>
            <w:tcW w:type="dxa" w:w="2160"/>
          </w:tcPr>
          <w:p>
            <w:r>
              <w:t>Ref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CON-01</w:t>
            </w:r>
          </w:p>
        </w:tc>
        <w:tc>
          <w:tcPr>
            <w:tcW w:type="dxa" w:w="2160"/>
          </w:tcPr>
          <w:p>
            <w:r>
              <w:t>When was your company founded?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CON-02</w:t>
            </w:r>
          </w:p>
        </w:tc>
        <w:tc>
          <w:tcPr>
            <w:tcW w:type="dxa" w:w="2160"/>
          </w:tcPr>
          <w:p>
            <w:r>
              <w:t>How do you plan and announce customer maintenance windows?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CON-03</w:t>
            </w:r>
          </w:p>
        </w:tc>
        <w:tc>
          <w:tcPr>
            <w:tcW w:type="dxa" w:w="2160"/>
          </w:tcPr>
          <w:p>
            <w:r>
              <w:t>What controls do you have for token budget abuse detection and throttling across all regulated environments?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CON-04</w:t>
            </w:r>
          </w:p>
        </w:tc>
        <w:tc>
          <w:tcPr>
            <w:tcW w:type="dxa" w:w="2160"/>
          </w:tcPr>
          <w:p>
            <w:r>
              <w:t>What controls do you have for token budget abuse detection and throttling during incident conditions?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CON-05</w:t>
            </w:r>
          </w:p>
        </w:tc>
        <w:tc>
          <w:tcPr>
            <w:tcW w:type="dxa" w:w="2160"/>
          </w:tcPr>
          <w:p>
            <w:r>
              <w:t>Bug Bounty Contact: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CON-06</w:t>
            </w:r>
          </w:p>
        </w:tc>
        <w:tc>
          <w:tcPr>
            <w:tcW w:type="dxa" w:w="2160"/>
          </w:tcPr>
          <w:p>
            <w:r>
              <w:t>Do you formally document retrieval corpus poisoning detection controls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CON-07</w:t>
            </w:r>
          </w:p>
        </w:tc>
        <w:tc>
          <w:tcPr>
            <w:tcW w:type="dxa" w:w="2160"/>
          </w:tcPr>
          <w:p>
            <w:r>
              <w:t>Describe your approach to non-production shadow environment attestations for each critical workflow?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CON-08</w:t>
            </w:r>
          </w:p>
        </w:tc>
        <w:tc>
          <w:tcPr>
            <w:tcW w:type="dxa" w:w="2160"/>
          </w:tcPr>
          <w:p>
            <w:r>
              <w:t>What is your approach to zero-trust architecture?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CON-09</w:t>
            </w:r>
          </w:p>
        </w:tc>
        <w:tc>
          <w:tcPr>
            <w:tcW w:type="dxa" w:w="2160"/>
          </w:tcPr>
          <w:p>
            <w:r>
              <w:t>How frequently do you validate emergency contact trees?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CON-10</w:t>
            </w:r>
          </w:p>
        </w:tc>
        <w:tc>
          <w:tcPr>
            <w:tcW w:type="dxa" w:w="2160"/>
          </w:tcPr>
          <w:p>
            <w:r>
              <w:t>What is your process for cross-tenant synthetic data separation for high-risk client requests?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Business Continuity</w:t>
            </w:r>
          </w:p>
        </w:tc>
        <w:tc>
          <w:tcPr>
            <w:tcW w:type="dxa" w:w="2160"/>
          </w:tcPr>
          <w:p>
            <w:r>
              <w:t>CON-11</w:t>
            </w:r>
          </w:p>
        </w:tc>
        <w:tc>
          <w:tcPr>
            <w:tcW w:type="dxa" w:w="2160"/>
          </w:tcPr>
          <w:p>
            <w:r>
              <w:t>Do you maintain minimum security control baselines for vendors?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