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50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OPE-01</w:t>
            </w:r>
          </w:p>
        </w:tc>
        <w:tc>
          <w:tcPr>
            <w:tcW w:type="dxa" w:w="2160"/>
          </w:tcPr>
          <w:p>
            <w:r>
              <w:t>What is your process for regional model rollback playbooks across all regulated environments?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OPE-02</w:t>
            </w:r>
          </w:p>
        </w:tc>
        <w:tc>
          <w:tcPr>
            <w:tcW w:type="dxa" w:w="2160"/>
          </w:tcPr>
          <w:p>
            <w:r>
              <w:t>Do you use canary or blue-green deployments for major releases?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OPE-03</w:t>
            </w:r>
          </w:p>
        </w:tc>
        <w:tc>
          <w:tcPr>
            <w:tcW w:type="dxa" w:w="2160"/>
          </w:tcPr>
          <w:p>
            <w:r>
              <w:t>How do you respond to data subject access requests?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OPE-04</w:t>
            </w:r>
          </w:p>
        </w:tc>
        <w:tc>
          <w:tcPr>
            <w:tcW w:type="dxa" w:w="2160"/>
          </w:tcPr>
          <w:p>
            <w:r>
              <w:t>How do you validate third-party LLM provider continuity drills for each critical workflow?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OPE-05</w:t>
            </w:r>
          </w:p>
        </w:tc>
        <w:tc>
          <w:tcPr>
            <w:tcW w:type="dxa" w:w="2160"/>
          </w:tcPr>
          <w:p>
            <w:r>
              <w:t>How often do you review cross-language answer consistency scoring across all regulated environments?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OPE-06</w:t>
            </w:r>
          </w:p>
        </w:tc>
        <w:tc>
          <w:tcPr>
            <w:tcW w:type="dxa" w:w="2160"/>
          </w:tcPr>
          <w:p>
            <w:r>
              <w:t>Tell us about your encryption standards for stored data.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OPE-07</w:t>
            </w:r>
          </w:p>
        </w:tc>
        <w:tc>
          <w:tcPr>
            <w:tcW w:type="dxa" w:w="2160"/>
          </w:tcPr>
          <w:p>
            <w:r>
              <w:t>How do you handle security in serverless architectures?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OPE-08</w:t>
            </w:r>
          </w:p>
        </w:tc>
        <w:tc>
          <w:tcPr>
            <w:tcW w:type="dxa" w:w="2160"/>
          </w:tcPr>
          <w:p>
            <w:r>
              <w:t>What is your mean time to respond to incidents?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OPE-09</w:t>
            </w:r>
          </w:p>
        </w:tc>
        <w:tc>
          <w:tcPr>
            <w:tcW w:type="dxa" w:w="2160"/>
          </w:tcPr>
          <w:p>
            <w:r>
              <w:t>How do you govern regional model rollback playbooks before production release?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