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9669"/>
        </w:rPr>
        <w:t>Vendor Security Questionnaire</w:t>
      </w:r>
    </w:p>
    <w:p>
      <w:pPr>
        <w:pStyle w:val="Subtitle"/>
      </w:pPr>
      <w:r>
        <w:t>Prepared for: AetherWave Communications</w:t>
      </w:r>
    </w:p>
    <w:p/>
    <w:p>
      <w:pPr>
        <w:pStyle w:val="Heading2"/>
      </w:pPr>
      <w:r>
        <w:t>Product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Are API endpoints authenticated and rate-limited?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Are SAST and DAST tools used in CI/CD?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Business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Do you have a disaster recovery site?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Are backups encrypted?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 you have a business continuity plan?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Do you have network segmentation in place?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Do you have geographic redundancy?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 you conduct Data Protection Impact Assessments?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Do you have a privacy by design framework?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Do you maintain a record of processing activities?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Are you CCPA compliant?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Are you GDPR compliant?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Vendor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Are vendor SLAs reviewed annually?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Do you perform background checks on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 you assess the security of your subprocessors?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Is there a formal vendor onboarding process?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Do you perform post-incident reviews?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 you have an incident response plan?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Do you conduct tabletop exercises for incident scenarios?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Do you have cyber insurance coverage?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How quickly will you notify customers of a data breach?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Do you maintain a security architecture document?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Do you use multi-factor authentication for all employees?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Is your organization SOC 2 Type II certified?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Do you support Single Sign-On (SSO)?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Do you enforce multi-factor authentication?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How quickly is access revoked when an employee leaves?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Do you maintain a regulatory change management process?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Do you undergo independent third-party audits?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