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9669"/>
        </w:rPr>
        <w:t>Vendor Security Questionnaire</w:t>
      </w:r>
    </w:p>
    <w:p>
      <w:pPr>
        <w:pStyle w:val="Subtitle"/>
      </w:pPr>
      <w:r>
        <w:t>Prepared for: Citadel Risk Partners</w:t>
      </w:r>
    </w:p>
    <w:p/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Have you had any regulatory violations in the past 3 years?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Are compliance requirements tracked and reported to leadership?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Do you comply with HIPAA?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Are you PCI-DSS compliant?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Is your organization SOC 2 Type II certified?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Do you use multi-factor authentication for all employees?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How often are vulnerability scans performed?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Are systems hardened according to industry benchmarks (CIS, NIST)?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Are security awareness trainings mandatory?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Product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Are API endpoints authenticated and rate-limited?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 you follow a secure development lifecycle?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Do you use dependency scanning?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Is there a formal change management process?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Do you perform periodic access reviews?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Are privileged access accounts monitored?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Do you support Single Sign-On (SSO)?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Is customer data encrypted at rest?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Are production and development environments separated?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Is infrastructure defined as code?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Do you perform post-incident reviews?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How are security logs collected and monitored?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Do you have an incident response plan?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How quickly will you notify customers of a data breach?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Can customers request deletion of their data?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Are you GDPR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Do you have a privacy by design framework?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How long do you retain customer data?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Is personal data pseudonymized or anonymized where possible?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Vendor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Do employees sign confidentiality agreements?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Do you perform background checks on employees?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Do you maintain a list of all third-party vendors?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Do you notify customers of new subprocessors?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Business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What is your RPO and RTO?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Do you perform regular data backups?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