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</w:rPr>
        <w:t>Vendor Security Questionnaire</w:t>
      </w:r>
    </w:p>
    <w:p>
      <w:pPr>
        <w:pStyle w:val="Subtitle"/>
      </w:pPr>
      <w:r>
        <w:t>Prepared for: Fortis Banking Solutions</w:t>
      </w:r>
    </w:p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Are SAST and DAST tools used in CI/CD?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 you follow a secure development lifecycle?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maintain a security architecture document?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perform periodic access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Are privileged access accounts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How is access to customer data controlled?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Is the principle of least privilege enforced?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transfer personal data outside of the EU?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Are you CCPA compliant?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 you perform regular data backups?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Are compliance requirements tracked and reported to leadership?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Are you ISO 27001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Do you have a compliance monitoring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Are you PCI-DSS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maintain a regulatory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perform post-incident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 you have an incident response plan?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