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</w:rPr>
        <w:t>Vendor Security Questionnaire</w:t>
      </w:r>
    </w:p>
    <w:p>
      <w:pPr>
        <w:pStyle w:val="Subtitle"/>
      </w:pPr>
      <w:r>
        <w:t>Prepared for: Nexus Compliance Group</w:t>
      </w:r>
    </w:p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 you conduct Data Protection Impact Assessments?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Can customers request deletion of their data?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How long do you retain customer data?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Are you CCPA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 you maintain a record of processing activities?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How quickly will you notify customers of a data breach?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Do you have cyber insurance coverage?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 you undergo independent third-party audits?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Do you comply with HIPAA?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Are compliance requirements tracked and reported to leadership?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 you have a compliance monitoring program?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Have you had any regulatory violations in the past 3 years?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Business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How often is the BCP tested?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What is your RPO and RTO?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Product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 you perform threat modeling for new features?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Do you use dependency scanning?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Are systems hardened according to industry benchmarks (CIS, NIST)?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Is there a formal risk assessment process?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 you perform regular security code reviews?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