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DC2626"/>
        </w:rPr>
        <w:t>Vendor Security Questionnaire</w:t>
      </w:r>
    </w:p>
    <w:p>
      <w:pPr>
        <w:pStyle w:val="Subtitle"/>
      </w:pPr>
      <w:r>
        <w:t>Prepared for: Paladin Cyber Defense</w:t>
      </w:r>
    </w:p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Are you CCPA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 you have a Data Protection Officer?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How long do you retain customer data?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 you have a privacy by design framework?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Are you PCI-DSS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Are you ISO 27001 certified?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 you use container orchestration (Kubernetes, ECS)?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have network segmentation in place?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Do you have geographic redundancy?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Where is customer data hosted?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Is customer data encrypted at rest?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 you conduct tabletop exercises for incident scenarios?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Is there a documented escalation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How are security logs collected and monitored?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have an incident response plan?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Are systems hardened according to industry benchmarks (CIS, NIST)?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maintain a security architecture document?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 you perform threat modeling for new features?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 you follow a secure development lifecycle?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Are API endpoints authenticated and rate-limited?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 you maintain a list of all third-party vendors?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Do you notify customers of new subprocessors?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Do employees sign confidentiality agreements?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 you support Single Sign-On (SSO)?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How is access to customer data controlled?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Is the principle of least privilege enforced?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