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DC2626"/>
        </w:rPr>
        <w:t>Vendor Security Questionnaire</w:t>
      </w:r>
    </w:p>
    <w:p>
      <w:pPr>
        <w:pStyle w:val="Subtitle"/>
      </w:pPr>
      <w:r>
        <w:t>Prepared for: Prism Healthcare Tech</w:t>
      </w:r>
    </w:p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How is access to customer data controlled?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Is the principle of least privilege enforced?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Are privileged access accounts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How quickly is access revoked when an employee leaves?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perform regular penetration testing?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 you have a formal information security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Do you have a bug bounty or responsible disclosure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Are security awareness trainings mandatory?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Have you had any regulatory violations in the past 3 years?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Are you PCI-DSS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 you maintain a regulatory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 employees sign confidentiality agreements?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perform background checks on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Are vendor SLAs reviewed annually?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Do you assess the security of your subprocessors?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notify customers of new subprocessors?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Is infrastructure defined as code?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Where is customer data hosted?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How long do you retain customer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Are you CCPA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Are you GDPR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Can customers request deletion of their data?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 you use dependency scanning?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Is there a formal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What is your RPO and RTO?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Do you have a dedicated security operations team?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How are security logs collected and monitored?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