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563EB"/>
        </w:rPr>
        <w:t>Vendor Security Questionnaire</w:t>
      </w:r>
    </w:p>
    <w:p>
      <w:pPr>
        <w:pStyle w:val="Subtitle"/>
      </w:pPr>
      <w:r>
        <w:t>Prepared for: Redwood Capital Mgmt</w:t>
      </w:r>
    </w:p>
    <w:p/>
    <w:p>
      <w:pPr>
        <w:pStyle w:val="Heading2"/>
      </w:pPr>
      <w:r>
        <w:t>Business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Do you perform regular data backups?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 you have a disaster recovery site?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How often is the BCP tested?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Do you conduct Data Protection Impact Assessments?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Is personal data pseudonymized or anonymized where possible?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Do you maintain a record of processing activities?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How long do you retain customer data?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Are privileged access accounts monitored?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Is the principle of least privilege enforced?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How quickly is access revoked when an employee leaves?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Do you support role-based access control?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Do you have a compliance monitoring program?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Do you comply with HIPAA?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Are you ISO 27001 certified?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Do you maintain a regulatory change management process?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How quickly will you notify customers of a data breach?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Is there a documented escalation process?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Do you conduct tabletop exercises for incident scenarios?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Do you perform post-incident reviews?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How often are vulnerability scans performed?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Do you have a dedicated CISO or equivalent role?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Do you use multi-factor authentication for all employees?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Is customer data encrypted at rest?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What is your uptime SLA?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Do you have geographic redundancy?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