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7C3AED"/>
        </w:rPr>
        <w:t>Vendor Security Questionnaire</w:t>
      </w:r>
    </w:p>
    <w:p>
      <w:pPr>
        <w:pStyle w:val="Subtitle"/>
      </w:pPr>
      <w:r>
        <w:t>Prepared for: TerraFirma Infrastructure</w:t>
      </w:r>
    </w:p>
    <w:p/>
    <w:p>
      <w:pPr>
        <w:pStyle w:val="Heading2"/>
      </w:pPr>
      <w:r>
        <w:t>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How often are vulnerability scans performed?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Do you have a bug bounty or responsible disclosure program?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Are systems hardened according to industry benchmarks (CIS, NIST)?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Privacy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Do you have a privacy by design framework?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Do you transfer personal data outside of the EU?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Can customers request deletion of their data?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Vendor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Do employees sign confidentiality agreements?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Are vendor SLAs reviewed annually?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Business Continuity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Are backups encrypted?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How often is the BCP tested?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Do you have a disaster recovery site?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Have you had any regulatory violations in the past 3 years?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Do you undergo independent third-party audits?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Do you maintain a regulatory change management process?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Do you comply with HIPAA?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Is customer data encrypted in transit?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Is customer data encrypted at rest?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Do you have geographic redundancy?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Do you use container orchestration (Kubernetes, ECS)?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Do you use a WAF or DDoS protection?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Incident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How quickly will you notify customers of a data breach?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Do you have cyber insurance coverage?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Do you perform post-incident reviews?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Do you have a dedicated security operations team?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How quickly is access revoked when an employee leaves?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Do you support Single Sign-On (SSO)?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How is access to customer data controlled?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