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200"/>
      </w:pPr>
      <w:r>
        <w:rPr>
          <w:rFonts w:ascii="Calibri" w:cs="Calibri" w:eastAsia="Calibri" w:hAnsi="Calibri"/>
          <w:b/>
          <w:bCs/>
          <w:color w:val="3B2F8C"/>
          <w:sz w:val="56"/>
          <w:szCs w:val="56"/>
        </w:rPr>
        <w:t xml:space="preserve">Transition Barrier Assessment</w:t>
      </w:r>
    </w:p>
    <w:p>
      <w:pPr>
        <w:spacing w:after="400"/>
      </w:pPr>
      <w:r>
        <w:rPr>
          <w:rFonts w:ascii="Calibri" w:cs="Calibri" w:eastAsia="Calibri" w:hAnsi="Calibri"/>
          <w:color w:val="5A5A6E"/>
          <w:sz w:val="28"/>
          <w:szCs w:val="28"/>
        </w:rPr>
        <w:t xml:space="preserve">How feasible is decarbonisation, by sector and by region?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35 criteria</w:t>
      </w:r>
      <w:r>
        <w:rPr>
          <w:rFonts w:ascii="Calibri" w:cs="Calibri" w:eastAsia="Calibri" w:hAnsi="Calibri"/>
          <w:sz w:val="20"/>
          <w:szCs w:val="20"/>
        </w:rPr>
        <w:t xml:space="preserve">  · 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9 hard-to-abate sectors</w:t>
      </w:r>
      <w:r>
        <w:rPr>
          <w:rFonts w:ascii="Calibri" w:cs="Calibri" w:eastAsia="Calibri" w:hAnsi="Calibri"/>
          <w:sz w:val="20"/>
          <w:szCs w:val="20"/>
        </w:rPr>
        <w:t xml:space="preserve">  · 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3 regions</w:t>
      </w:r>
      <w:r>
        <w:rPr>
          <w:rFonts w:ascii="Calibri" w:cs="Calibri" w:eastAsia="Calibri" w:hAnsi="Calibri"/>
          <w:sz w:val="20"/>
          <w:szCs w:val="20"/>
        </w:rPr>
        <w:t xml:space="preserve">  · 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105 rated cells</w:t>
      </w:r>
      <w:r>
        <w:rPr>
          <w:rFonts w:ascii="Calibri" w:cs="Calibri" w:eastAsia="Calibri" w:hAnsi="Calibri"/>
          <w:sz w:val="20"/>
          <w:szCs w:val="20"/>
        </w:rPr>
        <w:t xml:space="preserve">  · 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94 verified sources</w:t>
      </w:r>
    </w:p>
    <w:p>
      <w:pPr>
        <w:spacing w:after="120" w:before="0"/>
      </w:pPr>
      <w:r>
        <w:rPr>
          <w:rFonts w:ascii="Calibri" w:cs="Calibri" w:eastAsia="Calibri" w:hAnsi="Calibri"/>
          <w:color w:val="5A5A6E"/>
          <w:sz w:val="20"/>
          <w:szCs w:val="20"/>
        </w:rPr>
        <w:t xml:space="preserve">Agentic Research Pipeline — module reference</w:t>
      </w:r>
    </w:p>
    <w:p>
      <w:pPr>
        <w:spacing w:after="120" w:before="0"/>
      </w:pPr>
      <w:r>
        <w:rPr>
          <w:rFonts w:ascii="Calibri" w:cs="Calibri" w:eastAsia="Calibri" w:hAnsi="Calibri"/>
          <w:color w:val="5A5A6E"/>
          <w:sz w:val="20"/>
          <w:szCs w:val="20"/>
        </w:rPr>
        <w:t xml:space="preserve">Data verified 2026-08-14</w:t>
      </w:r>
    </w:p>
    <w:p>
      <w:r>
        <w:br w:type="page"/>
      </w:r>
    </w:p>
    <w:p>
      <w:pPr>
        <w:pStyle w:val="Heading1"/>
        <w:spacing w:after="160" w:before="0"/>
      </w:pPr>
      <w:r>
        <w:rPr>
          <w:rFonts w:ascii="Calibri" w:cs="Calibri" w:eastAsia="Calibri" w:hAnsi="Calibri"/>
          <w:sz w:val="20"/>
          <w:szCs w:val="20"/>
        </w:rPr>
        <w:t xml:space="preserve">What this is</w:t>
      </w:r>
    </w:p>
    <w:p>
      <w:pPr>
        <w:spacing w:after="120" w:before="0"/>
      </w:pPr>
      <w:r>
        <w:rPr>
          <w:rFonts w:ascii="Calibri" w:cs="Calibri" w:eastAsia="Calibri" w:hAnsi="Calibri"/>
          <w:sz w:val="20"/>
          <w:szCs w:val="20"/>
        </w:rPr>
        <w:t xml:space="preserve">The Transition Barrier Assessment answers a question that sits upstream of every company-level climate judgement: how feasible is decarbonisation in this sector, in this region, at all? It scores 9 hard-to-abate sectors against 35 criteria, each rated for the European Union, the United States and China — a 105-cell matrix. Every cell carries an H/M/L rating, a confidence tier, the evidence it rests on, the sources behind it, and the date it was last verified.</w:t>
      </w:r>
    </w:p>
    <w:p>
      <w:pPr>
        <w:pStyle w:val="Heading2"/>
        <w:spacing w:after="120" w:before="200"/>
      </w:pPr>
      <w:r>
        <w:rPr>
          <w:rFonts w:ascii="Calibri" w:cs="Calibri" w:eastAsia="Calibri" w:hAnsi="Calibri"/>
          <w:sz w:val="20"/>
          <w:szCs w:val="20"/>
        </w:rPr>
        <w:t xml:space="preserve">Read the rating the right way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H means transition is more feasible — fewer barriers — not that the barrier is high.</w:t>
      </w:r>
      <w:r>
        <w:rPr>
          <w:rFonts w:ascii="Calibri" w:cs="Calibri" w:eastAsia="Calibri" w:hAnsi="Calibri"/>
          <w:sz w:val="20"/>
          <w:szCs w:val="20"/>
        </w:rPr>
        <w:t xml:space="preserve"> This is the most common way to misread the matrix. A cell rated L is one where decarbonisation is hard: the technology is not ready, the regulation is absent, or the economics do not close.</w:t>
      </w:r>
    </w:p>
    <w:tbl>
      <w:tblPr>
        <w:tblW w:type="dxa" w:w="15398"/>
        <w:tblBorders>
          <w:top w:val="single" w:color="C9C9D4" w:sz="2"/>
          <w:left w:val="single" w:color="C9C9D4" w:sz="2"/>
          <w:bottom w:val="single" w:color="C9C9D4" w:sz="2"/>
          <w:right w:val="single" w:color="C9C9D4" w:sz="2"/>
          <w:insideH w:val="single" w:color="DEDEE6" w:sz="2"/>
          <w:insideV w:val="single" w:color="DEDEE6" w:sz="2"/>
        </w:tblBorders>
      </w:tblPr>
      <w:tblGrid>
        <w:gridCol w:w="1400"/>
        <w:gridCol w:w="13998"/>
      </w:tblGrid>
      <w:tr>
        <w:trPr>
          <w:tblHeader/>
        </w:trPr>
        <w:tc>
          <w:tcPr>
            <w:tcW w:type="dxa" w:w="14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Rating</w:t>
            </w:r>
          </w:p>
        </w:tc>
        <w:tc>
          <w:tcPr>
            <w:tcW w:type="dxa" w:w="13998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Meaning</w:t>
            </w:r>
          </w:p>
        </w:tc>
      </w:tr>
      <w:tr>
        <w:tc>
          <w:tcPr>
            <w:tcW w:type="dxa" w:w="1400"/>
            <w:shd w:fill="D6EFD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H</w:t>
            </w:r>
          </w:p>
        </w:tc>
        <w:tc>
          <w:tcPr>
            <w:tcW w:type="dxa" w:w="139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High feasibility — the enabling condition is in place</w:t>
            </w:r>
          </w:p>
        </w:tc>
      </w:tr>
      <w:tr>
        <w:tc>
          <w:tcPr>
            <w:tcW w:type="dxa" w:w="1400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</w:t>
            </w:r>
          </w:p>
        </w:tc>
        <w:tc>
          <w:tcPr>
            <w:tcW w:type="dxa" w:w="139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Moderate — partially in place, or in place with material caveats</w:t>
            </w:r>
          </w:p>
        </w:tc>
      </w:tr>
      <w:tr>
        <w:tc>
          <w:tcPr>
            <w:tcW w:type="dxa" w:w="1400"/>
            <w:shd w:fill="F7DA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L</w:t>
            </w:r>
          </w:p>
        </w:tc>
        <w:tc>
          <w:tcPr>
            <w:tcW w:type="dxa" w:w="139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Low feasibility — the enabling condition is largely absent</w:t>
            </w:r>
          </w:p>
        </w:tc>
      </w:tr>
    </w:tbl>
    <w:p>
      <w:pPr>
        <w:spacing w:after="120" w:before="160"/>
      </w:pPr>
      <w:r>
        <w:rPr>
          <w:rFonts w:ascii="Calibri" w:cs="Calibri" w:eastAsia="Calibri" w:hAnsi="Calibri"/>
          <w:sz w:val="20"/>
          <w:szCs w:val="20"/>
        </w:rPr>
        <w:t xml:space="preserve">Confidence (high / medium / low) is a separate axis recording how sure the analyst was given the evidence available. It is not a measure of how recently the cell was checked — staleness is tracked independently.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sz w:val="20"/>
          <w:szCs w:val="20"/>
        </w:rPr>
        <w:t xml:space="preserve">What the matrix currently says</w:t>
      </w:r>
    </w:p>
    <w:p>
      <w:pPr>
        <w:spacing w:after="120"/>
      </w:pPr>
      <w:r>
        <w:rPr>
          <w:rFonts w:ascii="Calibri" w:cs="Calibri" w:eastAsia="Calibri" w:hAnsi="Calibri"/>
          <w:sz w:val="20"/>
          <w:szCs w:val="20"/>
        </w:rPr>
        <w:t xml:space="preserve">Across all 105 cells: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24 H · 49 M · 32 L</w:t>
      </w:r>
      <w:r>
        <w:rPr>
          <w:rFonts w:ascii="Calibri" w:cs="Calibri" w:eastAsia="Calibri" w:hAnsi="Calibri"/>
          <w:sz w:val="20"/>
          <w:szCs w:val="20"/>
        </w:rPr>
        <w:t xml:space="preserve">.</w:t>
      </w:r>
    </w:p>
    <w:tbl>
      <w:tblPr>
        <w:tblW w:type="dxa" w:w="15398"/>
        <w:tblBorders>
          <w:top w:val="single" w:color="C9C9D4" w:sz="2"/>
          <w:left w:val="single" w:color="C9C9D4" w:sz="2"/>
          <w:bottom w:val="single" w:color="C9C9D4" w:sz="2"/>
          <w:right w:val="single" w:color="C9C9D4" w:sz="2"/>
          <w:insideH w:val="single" w:color="DEDEE6" w:sz="2"/>
          <w:insideV w:val="single" w:color="DEDEE6" w:sz="2"/>
        </w:tblBorders>
      </w:tblPr>
      <w:tblGrid>
        <w:gridCol w:w="2600"/>
        <w:gridCol w:w="900"/>
        <w:gridCol w:w="900"/>
        <w:gridCol w:w="900"/>
        <w:gridCol w:w="10098"/>
      </w:tblGrid>
      <w:tr>
        <w:trPr>
          <w:tblHeader/>
        </w:trPr>
        <w:tc>
          <w:tcPr>
            <w:tcW w:type="dxa" w:w="26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Region</w:t>
            </w:r>
          </w:p>
        </w:tc>
        <w:tc>
          <w:tcPr>
            <w:tcW w:type="dxa" w:w="9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H</w:t>
            </w:r>
          </w:p>
        </w:tc>
        <w:tc>
          <w:tcPr>
            <w:tcW w:type="dxa" w:w="9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M</w:t>
            </w:r>
          </w:p>
        </w:tc>
        <w:tc>
          <w:tcPr>
            <w:tcW w:type="dxa" w:w="9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L</w:t>
            </w:r>
          </w:p>
        </w:tc>
        <w:tc>
          <w:tcPr>
            <w:tcW w:type="dxa" w:w="10098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Reading</w:t>
            </w:r>
          </w:p>
        </w:tc>
      </w:tr>
      <w:t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European Union</w:t>
            </w:r>
          </w:p>
        </w:tc>
        <w:tc>
          <w:tcPr>
            <w:tcW w:type="dxa" w:w="900"/>
            <w:shd w:fill="D6EFD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16</w:t>
            </w:r>
          </w:p>
        </w:tc>
        <w:tc>
          <w:tcPr>
            <w:tcW w:type="dxa" w:w="900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16</w:t>
            </w:r>
          </w:p>
        </w:tc>
        <w:tc>
          <w:tcPr>
            <w:tcW w:type="dxa" w:w="900"/>
            <w:shd w:fill="F7DA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3</w:t>
            </w:r>
          </w:p>
        </w:tc>
        <w:tc>
          <w:tcPr>
            <w:tcW w:type="dxa" w:w="100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Regulation is largely in place; the binding constraints are technological and economic</w:t>
            </w:r>
          </w:p>
        </w:tc>
      </w:tr>
      <w:t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United States</w:t>
            </w:r>
          </w:p>
        </w:tc>
        <w:tc>
          <w:tcPr>
            <w:tcW w:type="dxa" w:w="900"/>
            <w:shd w:fill="D6EFD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3</w:t>
            </w:r>
          </w:p>
        </w:tc>
        <w:tc>
          <w:tcPr>
            <w:tcW w:type="dxa" w:w="900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22</w:t>
            </w:r>
          </w:p>
        </w:tc>
        <w:tc>
          <w:tcPr>
            <w:tcW w:type="dxa" w:w="900"/>
            <w:shd w:fill="F7DA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10</w:t>
            </w:r>
          </w:p>
        </w:tc>
        <w:tc>
          <w:tcPr>
            <w:tcW w:type="dxa" w:w="100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Mostly moderate, and materially weaker on regulation after the 2025 federal reversals</w:t>
            </w:r>
          </w:p>
        </w:tc>
      </w:tr>
      <w:t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China</w:t>
            </w:r>
          </w:p>
        </w:tc>
        <w:tc>
          <w:tcPr>
            <w:tcW w:type="dxa" w:w="900"/>
            <w:shd w:fill="D6EFD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5</w:t>
            </w:r>
          </w:p>
        </w:tc>
        <w:tc>
          <w:tcPr>
            <w:tcW w:type="dxa" w:w="900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11</w:t>
            </w:r>
          </w:p>
        </w:tc>
        <w:tc>
          <w:tcPr>
            <w:tcW w:type="dxa" w:w="900"/>
            <w:shd w:fill="F7DA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19</w:t>
            </w:r>
          </w:p>
        </w:tc>
        <w:tc>
          <w:tcPr>
            <w:tcW w:type="dxa" w:w="100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Strong on deployment and manufacturing scale, weak on binding carbon pricing and mandates</w:t>
            </w:r>
          </w:p>
        </w:tc>
      </w:tr>
    </w:tbl>
    <w:p>
      <w:pPr>
        <w:pStyle w:val="Heading2"/>
        <w:spacing w:after="120" w:before="240"/>
      </w:pPr>
      <w:r>
        <w:rPr>
          <w:rFonts w:ascii="Calibri" w:cs="Calibri" w:eastAsia="Calibri" w:hAnsi="Calibri"/>
          <w:sz w:val="20"/>
          <w:szCs w:val="20"/>
        </w:rPr>
        <w:t xml:space="preserve">Why this needs automated re-verification</w:t>
      </w:r>
    </w:p>
    <w:p>
      <w:pPr>
        <w:spacing w:after="120" w:before="0"/>
      </w:pPr>
      <w:r>
        <w:rPr>
          <w:rFonts w:ascii="Calibri" w:cs="Calibri" w:eastAsia="Calibri" w:hAnsi="Calibri"/>
          <w:sz w:val="20"/>
          <w:szCs w:val="20"/>
        </w:rPr>
        <w:t xml:space="preserve">Two US cells moved during the August 2026 verification pass, and neither would have been caught by re-fetching the same government page — both required searching for news of the policy change itself.</w:t>
      </w:r>
    </w:p>
    <w:tbl>
      <w:tblPr>
        <w:tblW w:type="dxa" w:w="15398"/>
        <w:tblBorders>
          <w:top w:val="single" w:color="C9C9D4" w:sz="2"/>
          <w:left w:val="single" w:color="C9C9D4" w:sz="2"/>
          <w:bottom w:val="single" w:color="C9C9D4" w:sz="2"/>
          <w:right w:val="single" w:color="C9C9D4" w:sz="2"/>
          <w:insideH w:val="single" w:color="DEDEE6" w:sz="2"/>
          <w:insideV w:val="single" w:color="DEDEE6" w:sz="2"/>
        </w:tblBorders>
      </w:tblPr>
      <w:tblGrid>
        <w:gridCol w:w="1500"/>
        <w:gridCol w:w="1100"/>
        <w:gridCol w:w="12798"/>
      </w:tblGrid>
      <w:tr>
        <w:trPr>
          <w:tblHeader/>
        </w:trPr>
        <w:tc>
          <w:tcPr>
            <w:tcW w:type="dxa" w:w="15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Cell</w:t>
            </w:r>
          </w:p>
        </w:tc>
        <w:tc>
          <w:tcPr>
            <w:tcW w:type="dxa" w:w="11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Rating</w:t>
            </w:r>
          </w:p>
        </w:tc>
        <w:tc>
          <w:tcPr>
            <w:tcW w:type="dxa" w:w="12798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What changed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MIN-R2 (US)</w:t>
            </w:r>
          </w:p>
        </w:tc>
        <w:tc>
          <w:tcPr>
            <w:tcW w:type="dxa" w:w="1100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</w:t>
            </w:r>
          </w:p>
        </w:tc>
        <w:tc>
          <w:tcPr>
            <w:tcW w:type="dxa" w:w="127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Section 30D's critical mineral sourcing requirement no longer functions as an active demand-side incentive: the New Clean Vehicle Credit terminated for vehicles acquired after 30 September 2025 under the One Big Beautiful Bill Act (P.L. 119-21, signed 4 July 2025). The domestic/FTA-partner sourcing thresholds that previously tied a material subsidy to critical mineral origin have lost their financial mechanism. Some residual effect persists through Section 45X advanced manufacturing credits and remaining IRA-era supply chain investment already committed, which is why this is a downgrade to Moderate rather than Low.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OGU-R1 (US)</w:t>
            </w:r>
          </w:p>
        </w:tc>
        <w:tc>
          <w:tcPr>
            <w:tcW w:type="dxa" w:w="1100"/>
            <w:shd w:fill="F7DA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L</w:t>
            </w:r>
          </w:p>
        </w:tc>
        <w:tc>
          <w:tcPr>
            <w:tcW w:type="dxa" w:w="127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The EPA's Waste Emissions Charge implementing rule was nullified via a Congressional Review Act joint resolution (H.J.Res.35, P.L. 119-2) signed 14 March 2025. The underlying statutory fee remains on the books but EPA is barred from collecting it until 2034, and the CRA bars EPA from issuing a substantially similar rule without new legislative authority. No enforceable federal methane price currently applies to US upstream oil and gas operations; EPA performance standards (NSPS OOOOb/EG OOOOc) and GHG reporting requirements remain in effect but carry no direct cost mechanism.</w:t>
            </w:r>
          </w:p>
        </w:tc>
      </w:tr>
    </w:tbl>
    <w:p>
      <w:pPr>
        <w:spacing w:after="120" w:before="14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This is the argument for a policy-change search step, not merely a source re-fetch step, for every legal and government-publication source.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sz w:val="20"/>
          <w:szCs w:val="20"/>
        </w:rPr>
        <w:t xml:space="preserve">Operating rules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1.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Never auto-commit a rating change.</w:t>
      </w:r>
      <w:r>
        <w:rPr>
          <w:rFonts w:ascii="Calibri" w:cs="Calibri" w:eastAsia="Calibri" w:hAnsi="Calibri"/>
          <w:sz w:val="20"/>
          <w:szCs w:val="20"/>
        </w:rPr>
        <w:t xml:space="preserve"> A refresh may propose an H/M/L move; only a human may accept it. Updating evidence text or the last-verified date on an unchanged rating is fine.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2.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Every extracted value needs a confidence tier and an exact source quote</w:t>
      </w:r>
      <w:r>
        <w:rPr>
          <w:rFonts w:ascii="Calibri" w:cs="Calibri" w:eastAsia="Calibri" w:hAnsi="Calibri"/>
          <w:sz w:val="20"/>
          <w:szCs w:val="20"/>
        </w:rPr>
        <w:t xml:space="preserve"> before it is written anywhere. No bare numbers.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3.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Staleness and confidence are tracked separately.</w:t>
      </w:r>
      <w:r>
        <w:rPr>
          <w:rFonts w:ascii="Calibri" w:cs="Calibri" w:eastAsia="Calibri" w:hAnsi="Calibri"/>
          <w:sz w:val="20"/>
          <w:szCs w:val="20"/>
        </w:rPr>
        <w:t xml:space="preserve"> A high-confidence rating that has not been re-checked in 18 months is stale, not low-confidence.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4.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When sources disagree, surface both.</w:t>
      </w:r>
      <w:r>
        <w:rPr>
          <w:rFonts w:ascii="Calibri" w:cs="Calibri" w:eastAsia="Calibri" w:hAnsi="Calibri"/>
          <w:sz w:val="20"/>
          <w:szCs w:val="20"/>
        </w:rPr>
        <w:t xml:space="preserve"> Never silently pick one — a conflict becomes a review item carrying both versions and no proposed rating.</w:t>
      </w:r>
    </w:p>
    <w:p>
      <w:r>
        <w:br w:type="page"/>
      </w:r>
    </w:p>
    <w:p>
      <w:pPr>
        <w:pStyle w:val="Heading1"/>
        <w:spacing w:after="160" w:before="0"/>
      </w:pPr>
      <w:r>
        <w:rPr>
          <w:rFonts w:ascii="Calibri" w:cs="Calibri" w:eastAsia="Calibri" w:hAnsi="Calibri"/>
          <w:sz w:val="20"/>
          <w:szCs w:val="20"/>
        </w:rPr>
        <w:t xml:space="preserve">The 35 criteria</w:t>
      </w:r>
    </w:p>
    <w:p>
      <w:pPr>
        <w:spacing w:after="200" w:before="0"/>
      </w:pPr>
      <w:r>
        <w:rPr>
          <w:rFonts w:ascii="Calibri" w:cs="Calibri" w:eastAsia="Calibri" w:hAnsi="Calibri"/>
          <w:sz w:val="20"/>
          <w:szCs w:val="20"/>
        </w:rPr>
        <w:t xml:space="preserve">Grouped by sector. Each criterion states what is measured, in what unit, and the explicit thresholds separating H, M and L.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sz w:val="20"/>
          <w:szCs w:val="20"/>
        </w:rPr>
        <w:t xml:space="preserve">Power &amp; Utilities (5 criteria)</w:t>
      </w:r>
    </w:p>
    <w:tbl>
      <w:tblPr>
        <w:tblW w:type="dxa" w:w="15398"/>
        <w:tblBorders>
          <w:top w:val="single" w:color="C9C9D4" w:sz="2"/>
          <w:left w:val="single" w:color="C9C9D4" w:sz="2"/>
          <w:bottom w:val="single" w:color="C9C9D4" w:sz="2"/>
          <w:right w:val="single" w:color="C9C9D4" w:sz="2"/>
          <w:insideH w:val="single" w:color="DEDEE6" w:sz="2"/>
          <w:insideV w:val="single" w:color="DEDEE6" w:sz="2"/>
        </w:tblBorders>
      </w:tblPr>
      <w:tblGrid>
        <w:gridCol w:w="1000"/>
        <w:gridCol w:w="1500"/>
        <w:gridCol w:w="3898"/>
        <w:gridCol w:w="1500"/>
        <w:gridCol w:w="2500"/>
        <w:gridCol w:w="2500"/>
        <w:gridCol w:w="2500"/>
      </w:tblGrid>
      <w:tr>
        <w:trPr>
          <w:tblHeader/>
        </w:trPr>
        <w:tc>
          <w:tcPr>
            <w:tcW w:type="dxa" w:w="10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Code</w:t>
            </w:r>
          </w:p>
        </w:tc>
        <w:tc>
          <w:tcPr>
            <w:tcW w:type="dxa" w:w="15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Pillar</w:t>
            </w:r>
          </w:p>
        </w:tc>
        <w:tc>
          <w:tcPr>
            <w:tcW w:type="dxa" w:w="3898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Criterion / metric</w:t>
            </w:r>
          </w:p>
        </w:tc>
        <w:tc>
          <w:tcPr>
            <w:tcW w:type="dxa" w:w="15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Unit</w:t>
            </w:r>
          </w:p>
        </w:tc>
        <w:tc>
          <w:tcPr>
            <w:tcW w:type="dxa" w:w="25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H — more feasible</w:t>
            </w:r>
          </w:p>
        </w:tc>
        <w:tc>
          <w:tcPr>
            <w:tcW w:type="dxa" w:w="25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M</w:t>
            </w:r>
          </w:p>
        </w:tc>
        <w:tc>
          <w:tcPr>
            <w:tcW w:type="dxa" w:w="25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L — less feasible</w:t>
            </w:r>
          </w:p>
        </w:tc>
      </w:tr>
      <w:tr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PWR-T1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Technology</w:t>
            </w:r>
          </w:p>
        </w:tc>
        <w:tc>
          <w:tcPr>
            <w:tcW w:type="dxa" w:w="38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Levelised cost of renewable generation vs. new-build fossil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5A5A6E"/>
                <w:sz w:val="15"/>
                <w:szCs w:val="15"/>
              </w:rPr>
              <w:t xml:space="preserve">LCOE of utility-scale solar PV and onshore wind (USD/MWh) vs. LCOE of new-build CCGT/coal in the same region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USD/MWh, ratio</w:t>
            </w:r>
          </w:p>
        </w:tc>
        <w:tc>
          <w:tcPr>
            <w:tcW w:type="dxa" w:w="2500"/>
            <w:shd w:fill="D6EFD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Renewable LCOE &lt;= New-build fossil LCOE</w:t>
            </w:r>
          </w:p>
        </w:tc>
        <w:tc>
          <w:tcPr>
            <w:tcW w:type="dxa" w:w="2500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Renewable-to-fossil LCOE ratio &lt;= 1.3 or Subsidised renewable LCOE &lt;= New-build fossil LCOE</w:t>
            </w:r>
          </w:p>
        </w:tc>
        <w:tc>
          <w:tcPr>
            <w:tcW w:type="dxa" w:w="2500"/>
            <w:shd w:fill="F7DA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Otherwise (neither H nor M holds)</w:t>
            </w:r>
          </w:p>
        </w:tc>
      </w:tr>
      <w:tr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PWR-T2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Technology</w:t>
            </w:r>
          </w:p>
        </w:tc>
        <w:tc>
          <w:tcPr>
            <w:tcW w:type="dxa" w:w="38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Grid-scale storage / firming technology readiness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5A5A6E"/>
                <w:sz w:val="15"/>
                <w:szCs w:val="15"/>
              </w:rPr>
              <w:t xml:space="preserve">Deployed grid-scale battery storage capacity (GWh) relative to variable renewable capacity (GW) in the region; TRL of long-duration storage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GWh storage per GW variable renewables</w:t>
            </w:r>
          </w:p>
        </w:tc>
        <w:tc>
          <w:tcPr>
            <w:tcW w:type="dxa" w:w="2500"/>
            <w:shd w:fill="D6EFD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Wind and solar curtailment rate &lt;= 5% and Storage share of variable renewable capacity &gt;= [open: Non-negligible storage share]</w:t>
            </w:r>
          </w:p>
        </w:tc>
        <w:tc>
          <w:tcPr>
            <w:tcW w:type="dxa" w:w="2500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Storage share of variable renewable capacity &gt;= [open: Non-negligible storage share]</w:t>
            </w:r>
          </w:p>
        </w:tc>
        <w:tc>
          <w:tcPr>
            <w:tcW w:type="dxa" w:w="2500"/>
            <w:shd w:fill="F7DA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Otherwise (neither H nor M holds)</w:t>
            </w:r>
          </w:p>
        </w:tc>
      </w:tr>
      <w:tr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PWR-R1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Regulation</w:t>
            </w:r>
          </w:p>
        </w:tc>
        <w:tc>
          <w:tcPr>
            <w:tcW w:type="dxa" w:w="38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Effective carbon price on power generation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5A5A6E"/>
                <w:sz w:val="15"/>
                <w:szCs w:val="15"/>
              </w:rPr>
              <w:t xml:space="preserve">Carbon price applicable to power sector emissions (ETS price, carbon tax, or implicit price via clean energy mandate penalty)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USD/tCO2</w:t>
            </w:r>
          </w:p>
        </w:tc>
        <w:tc>
          <w:tcPr>
            <w:tcW w:type="dxa" w:w="2500"/>
            <w:shd w:fill="D6EFD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(Effective carbon price on power &gt; 60 USD/tCO2 and Carbon price coverage = region_wide) or Clean generation mandate = binding_100pct_with_penalty</w:t>
            </w:r>
          </w:p>
        </w:tc>
        <w:tc>
          <w:tcPr>
            <w:tcW w:type="dxa" w:w="2500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Effective carbon price on power &gt;= 33.92 USD/tCO2 or Clean generation mandate = other_target</w:t>
            </w:r>
          </w:p>
        </w:tc>
        <w:tc>
          <w:tcPr>
            <w:tcW w:type="dxa" w:w="2500"/>
            <w:shd w:fill="F7DA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Otherwise (neither H nor M holds)</w:t>
            </w:r>
          </w:p>
        </w:tc>
      </w:tr>
      <w:tr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PWR-R2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Regulation</w:t>
            </w:r>
          </w:p>
        </w:tc>
        <w:tc>
          <w:tcPr>
            <w:tcW w:type="dxa" w:w="38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Renewable deployment target and permitting regime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5A5A6E"/>
                <w:sz w:val="15"/>
                <w:szCs w:val="15"/>
              </w:rPr>
              <w:t xml:space="preserve">Legally binding renewable capacity target (GW or % of generation) by target year; average grid connection queue time (years)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GW target, years to connect</w:t>
            </w:r>
          </w:p>
        </w:tc>
        <w:tc>
          <w:tcPr>
            <w:tcW w:type="dxa" w:w="2500"/>
            <w:shd w:fill="D6EFD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Renewable target status = binding and Grid connection time &lt; 3 years</w:t>
            </w:r>
          </w:p>
        </w:tc>
        <w:tc>
          <w:tcPr>
            <w:tcW w:type="dxa" w:w="2500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Renewable target status in binding, aspirational_or_sub_regional and Grid connection time &lt;= 7 years</w:t>
            </w:r>
          </w:p>
        </w:tc>
        <w:tc>
          <w:tcPr>
            <w:tcW w:type="dxa" w:w="2500"/>
            <w:shd w:fill="F7DA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Otherwise (neither H nor M holds)</w:t>
            </w:r>
          </w:p>
        </w:tc>
      </w:tr>
      <w:tr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PWR-D1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Demand &amp; Economics</w:t>
            </w:r>
          </w:p>
        </w:tc>
        <w:tc>
          <w:tcPr>
            <w:tcW w:type="dxa" w:w="38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Corporate and utility PPA market depth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5A5A6E"/>
                <w:sz w:val="15"/>
                <w:szCs w:val="15"/>
              </w:rPr>
              <w:t xml:space="preserve">Annual volume of signed corporate/utility power purchase agreements (GW) for renewable generation in the region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GW/year signed</w:t>
            </w:r>
          </w:p>
        </w:tc>
        <w:tc>
          <w:tcPr>
            <w:tcW w:type="dxa" w:w="2500"/>
            <w:shd w:fill="D6EFD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PPA volume as share of additions &gt;= [open: PPA share of an established market] and PPA volume signed &gt;= PPA volume signed, prior year</w:t>
            </w:r>
          </w:p>
        </w:tc>
        <w:tc>
          <w:tcPr>
            <w:tcW w:type="dxa" w:w="2500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PPA volume as share of additions &gt;= [open: PPA share above negligible]</w:t>
            </w:r>
          </w:p>
        </w:tc>
        <w:tc>
          <w:tcPr>
            <w:tcW w:type="dxa" w:w="2500"/>
            <w:shd w:fill="F7DA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Otherwise (neither H nor M holds)</w:t>
            </w:r>
          </w:p>
        </w:tc>
      </w:tr>
    </w:tbl>
    <w:p>
      <w:pPr>
        <w:pStyle w:val="Heading2"/>
        <w:spacing w:after="100" w:before="220"/>
      </w:pPr>
      <w:r>
        <w:rPr>
          <w:rFonts w:ascii="Calibri" w:cs="Calibri" w:eastAsia="Calibri" w:hAnsi="Calibri"/>
          <w:sz w:val="20"/>
          <w:szCs w:val="20"/>
        </w:rPr>
        <w:t xml:space="preserve">Steel (5 criteria)</w:t>
      </w:r>
    </w:p>
    <w:tbl>
      <w:tblPr>
        <w:tblW w:type="dxa" w:w="15398"/>
        <w:tblBorders>
          <w:top w:val="single" w:color="C9C9D4" w:sz="2"/>
          <w:left w:val="single" w:color="C9C9D4" w:sz="2"/>
          <w:bottom w:val="single" w:color="C9C9D4" w:sz="2"/>
          <w:right w:val="single" w:color="C9C9D4" w:sz="2"/>
          <w:insideH w:val="single" w:color="DEDEE6" w:sz="2"/>
          <w:insideV w:val="single" w:color="DEDEE6" w:sz="2"/>
        </w:tblBorders>
      </w:tblPr>
      <w:tblGrid>
        <w:gridCol w:w="1000"/>
        <w:gridCol w:w="1500"/>
        <w:gridCol w:w="3898"/>
        <w:gridCol w:w="1500"/>
        <w:gridCol w:w="2500"/>
        <w:gridCol w:w="2500"/>
        <w:gridCol w:w="2500"/>
      </w:tblGrid>
      <w:tr>
        <w:trPr>
          <w:tblHeader/>
        </w:trPr>
        <w:tc>
          <w:tcPr>
            <w:tcW w:type="dxa" w:w="10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Code</w:t>
            </w:r>
          </w:p>
        </w:tc>
        <w:tc>
          <w:tcPr>
            <w:tcW w:type="dxa" w:w="15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Pillar</w:t>
            </w:r>
          </w:p>
        </w:tc>
        <w:tc>
          <w:tcPr>
            <w:tcW w:type="dxa" w:w="3898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Criterion / metric</w:t>
            </w:r>
          </w:p>
        </w:tc>
        <w:tc>
          <w:tcPr>
            <w:tcW w:type="dxa" w:w="15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Unit</w:t>
            </w:r>
          </w:p>
        </w:tc>
        <w:tc>
          <w:tcPr>
            <w:tcW w:type="dxa" w:w="25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H — more feasible</w:t>
            </w:r>
          </w:p>
        </w:tc>
        <w:tc>
          <w:tcPr>
            <w:tcW w:type="dxa" w:w="25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M</w:t>
            </w:r>
          </w:p>
        </w:tc>
        <w:tc>
          <w:tcPr>
            <w:tcW w:type="dxa" w:w="25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L — less feasible</w:t>
            </w:r>
          </w:p>
        </w:tc>
      </w:tr>
      <w:tr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STL-T1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Technology</w:t>
            </w:r>
          </w:p>
        </w:tc>
        <w:tc>
          <w:tcPr>
            <w:tcW w:type="dxa" w:w="38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Green hydrogen cost vs. DRI-H2 breakeven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5A5A6E"/>
                <w:sz w:val="15"/>
                <w:szCs w:val="15"/>
              </w:rPr>
              <w:t xml:space="preserve">Delivered cost of green hydrogen (USD/kg) at production site, vs. estimated breakeven cost for DRI-H2 route to be cost-competitive with BF-BOF at prevailing carbon price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USD/kg H2</w:t>
            </w:r>
          </w:p>
        </w:tc>
        <w:tc>
          <w:tcPr>
            <w:tcW w:type="dxa" w:w="2500"/>
            <w:shd w:fill="D6EFD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Renewable hydrogen supply present is Yes and Renewable hydrogen cost &lt;= DRI-H2 breakeven hydrogen cost</w:t>
            </w:r>
          </w:p>
        </w:tc>
        <w:tc>
          <w:tcPr>
            <w:tcW w:type="dxa" w:w="2500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Renewable hydrogen supply present is Yes and Hydrogen cost to breakeven &lt;= 2</w:t>
            </w:r>
          </w:p>
        </w:tc>
        <w:tc>
          <w:tcPr>
            <w:tcW w:type="dxa" w:w="2500"/>
            <w:shd w:fill="F7DA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Otherwise (neither H nor M holds)</w:t>
            </w:r>
          </w:p>
        </w:tc>
      </w:tr>
      <w:tr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STL-T2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Technology</w:t>
            </w:r>
          </w:p>
        </w:tc>
        <w:tc>
          <w:tcPr>
            <w:tcW w:type="dxa" w:w="38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Scrap steel availability (EAF route feasibility)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5A5A6E"/>
                <w:sz w:val="15"/>
                <w:szCs w:val="15"/>
              </w:rPr>
              <w:t xml:space="preserve">Domestic scrap steel collection and availability as % of crude steel production capacity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% of production</w:t>
            </w:r>
          </w:p>
        </w:tc>
        <w:tc>
          <w:tcPr>
            <w:tcW w:type="dxa" w:w="2500"/>
            <w:shd w:fill="D6EFD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Scrap availability as share of capacity &gt; 50%</w:t>
            </w:r>
          </w:p>
        </w:tc>
        <w:tc>
          <w:tcPr>
            <w:tcW w:type="dxa" w:w="2500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Scrap availability as share of capacity &gt;= 25%</w:t>
            </w:r>
          </w:p>
        </w:tc>
        <w:tc>
          <w:tcPr>
            <w:tcW w:type="dxa" w:w="2500"/>
            <w:shd w:fill="F7DA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Otherwise (neither H nor M holds)</w:t>
            </w:r>
          </w:p>
        </w:tc>
      </w:tr>
      <w:tr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STL-R1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Regulation</w:t>
            </w:r>
          </w:p>
        </w:tc>
        <w:tc>
          <w:tcPr>
            <w:tcW w:type="dxa" w:w="38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Effective carbon price on steel production incl. border adjustment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5A5A6E"/>
                <w:sz w:val="15"/>
                <w:szCs w:val="15"/>
              </w:rPr>
              <w:t xml:space="preserve">ETS/carbon tax price applicable to steel production, adjusted for free allocation phase-out and any import border levy (e.g. CBAM)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USD/tCO2 net of free allocation</w:t>
            </w:r>
          </w:p>
        </w:tc>
        <w:tc>
          <w:tcPr>
            <w:tcW w:type="dxa" w:w="2500"/>
            <w:shd w:fill="D6EFD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Carbon price applies to steel is Yes and Carbon price on steel &gt; 50 USD/tCO2 and Border carbon levy in force is Yes and Free allocation phase-out legislated is Yes</w:t>
            </w:r>
          </w:p>
        </w:tc>
        <w:tc>
          <w:tcPr>
            <w:tcW w:type="dxa" w:w="2500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Carbon price applies to steel is Yes and Carbon price on steel &gt;= 33.92 USD/tCO2</w:t>
            </w:r>
          </w:p>
        </w:tc>
        <w:tc>
          <w:tcPr>
            <w:tcW w:type="dxa" w:w="2500"/>
            <w:shd w:fill="F7DA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Otherwise (neither H nor M holds)</w:t>
            </w:r>
          </w:p>
        </w:tc>
      </w:tr>
      <w:tr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STL-R2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Regulation</w:t>
            </w:r>
          </w:p>
        </w:tc>
        <w:tc>
          <w:tcPr>
            <w:tcW w:type="dxa" w:w="38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Green/low-carbon steel public procurement or building-code mandate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5A5A6E"/>
                <w:sz w:val="15"/>
                <w:szCs w:val="15"/>
              </w:rPr>
              <w:t xml:space="preserve">Existence and scope of government mandate requiring low-carbon steel in public infrastructure procurement or building codes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Binary/scope descriptor</w:t>
            </w:r>
          </w:p>
        </w:tc>
        <w:tc>
          <w:tcPr>
            <w:tcW w:type="dxa" w:w="2500"/>
            <w:shd w:fill="D6EFD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Low-carbon steel procurement rule = binding and Share of steel demand covered &gt;= [open: Material share of construction demand]</w:t>
            </w:r>
          </w:p>
        </w:tc>
        <w:tc>
          <w:tcPr>
            <w:tcW w:type="dxa" w:w="2500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Low-carbon steel procurement rule in binding, voluntary_or_pilot</w:t>
            </w:r>
          </w:p>
        </w:tc>
        <w:tc>
          <w:tcPr>
            <w:tcW w:type="dxa" w:w="2500"/>
            <w:shd w:fill="F7DA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Otherwise (neither H nor M holds)</w:t>
            </w:r>
          </w:p>
        </w:tc>
      </w:tr>
      <w:tr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STL-D1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Demand &amp; Economics</w:t>
            </w:r>
          </w:p>
        </w:tc>
        <w:tc>
          <w:tcPr>
            <w:tcW w:type="dxa" w:w="38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Green steel price premium and recoverability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5A5A6E"/>
                <w:sz w:val="15"/>
                <w:szCs w:val="15"/>
              </w:rPr>
              <w:t xml:space="preserve">Market premium for certified low-carbon steel (USD/tonne) vs. conventional, and share of premium covered by signed offtake contracts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USD/tonne premium; % under contract</w:t>
            </w:r>
          </w:p>
        </w:tc>
        <w:tc>
          <w:tcPr>
            <w:tcW w:type="dxa" w:w="2500"/>
            <w:shd w:fill="D6EFD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Green steel premium disclosed is Yes and Share of announced capacity under offtake &gt;= [open: Material offtake share]</w:t>
            </w:r>
          </w:p>
        </w:tc>
        <w:tc>
          <w:tcPr>
            <w:tcW w:type="dxa" w:w="2500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Green steel premium disclosed is Yes and Offtake agreements signed is Yes</w:t>
            </w:r>
          </w:p>
        </w:tc>
        <w:tc>
          <w:tcPr>
            <w:tcW w:type="dxa" w:w="2500"/>
            <w:shd w:fill="F7DA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Otherwise (neither H nor M holds)</w:t>
            </w:r>
          </w:p>
        </w:tc>
      </w:tr>
    </w:tbl>
    <w:p>
      <w:pPr>
        <w:pStyle w:val="Heading2"/>
        <w:spacing w:after="100" w:before="220"/>
      </w:pPr>
      <w:r>
        <w:rPr>
          <w:rFonts w:ascii="Calibri" w:cs="Calibri" w:eastAsia="Calibri" w:hAnsi="Calibri"/>
          <w:sz w:val="20"/>
          <w:szCs w:val="20"/>
        </w:rPr>
        <w:t xml:space="preserve">Cement (5 criteria)</w:t>
      </w:r>
    </w:p>
    <w:tbl>
      <w:tblPr>
        <w:tblW w:type="dxa" w:w="15398"/>
        <w:tblBorders>
          <w:top w:val="single" w:color="C9C9D4" w:sz="2"/>
          <w:left w:val="single" w:color="C9C9D4" w:sz="2"/>
          <w:bottom w:val="single" w:color="C9C9D4" w:sz="2"/>
          <w:right w:val="single" w:color="C9C9D4" w:sz="2"/>
          <w:insideH w:val="single" w:color="DEDEE6" w:sz="2"/>
          <w:insideV w:val="single" w:color="DEDEE6" w:sz="2"/>
        </w:tblBorders>
      </w:tblPr>
      <w:tblGrid>
        <w:gridCol w:w="1000"/>
        <w:gridCol w:w="1500"/>
        <w:gridCol w:w="3898"/>
        <w:gridCol w:w="1500"/>
        <w:gridCol w:w="2500"/>
        <w:gridCol w:w="2500"/>
        <w:gridCol w:w="2500"/>
      </w:tblGrid>
      <w:tr>
        <w:trPr>
          <w:tblHeader/>
        </w:trPr>
        <w:tc>
          <w:tcPr>
            <w:tcW w:type="dxa" w:w="10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Code</w:t>
            </w:r>
          </w:p>
        </w:tc>
        <w:tc>
          <w:tcPr>
            <w:tcW w:type="dxa" w:w="15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Pillar</w:t>
            </w:r>
          </w:p>
        </w:tc>
        <w:tc>
          <w:tcPr>
            <w:tcW w:type="dxa" w:w="3898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Criterion / metric</w:t>
            </w:r>
          </w:p>
        </w:tc>
        <w:tc>
          <w:tcPr>
            <w:tcW w:type="dxa" w:w="15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Unit</w:t>
            </w:r>
          </w:p>
        </w:tc>
        <w:tc>
          <w:tcPr>
            <w:tcW w:type="dxa" w:w="25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H — more feasible</w:t>
            </w:r>
          </w:p>
        </w:tc>
        <w:tc>
          <w:tcPr>
            <w:tcW w:type="dxa" w:w="25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M</w:t>
            </w:r>
          </w:p>
        </w:tc>
        <w:tc>
          <w:tcPr>
            <w:tcW w:type="dxa" w:w="25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L — less feasible</w:t>
            </w:r>
          </w:p>
        </w:tc>
      </w:tr>
      <w:tr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CEM-T1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Technology</w:t>
            </w:r>
          </w:p>
        </w:tc>
        <w:tc>
          <w:tcPr>
            <w:tcW w:type="dxa" w:w="38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CCS capture technology deployment status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5A5A6E"/>
                <w:sz w:val="15"/>
                <w:szCs w:val="15"/>
              </w:rPr>
              <w:t xml:space="preserve">Number and capacity (Mtpa CO2) of operational or under-construction full-scale cement CCS facilities in the region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Mtpa capacity, facility count</w:t>
            </w:r>
          </w:p>
        </w:tc>
        <w:tc>
          <w:tcPr>
            <w:tcW w:type="dxa" w:w="2500"/>
            <w:shd w:fill="D6EFD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Largest operating cement CCS plant &gt;= 0.4 Mtpa CO2 and Operating track record is Yes</w:t>
            </w:r>
          </w:p>
        </w:tc>
        <w:tc>
          <w:tcPr>
            <w:tcW w:type="dxa" w:w="2500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Largest cement CCS plant at FID or in construction &gt;= 0.4 Mtpa CO2 or Largest operating cement CCS plant &gt;= 0.4 Mtpa CO2</w:t>
            </w:r>
          </w:p>
        </w:tc>
        <w:tc>
          <w:tcPr>
            <w:tcW w:type="dxa" w:w="2500"/>
            <w:shd w:fill="F7DA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Otherwise (neither H nor M holds)</w:t>
            </w:r>
          </w:p>
        </w:tc>
      </w:tr>
      <w:tr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CEM-T2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Technology</w:t>
            </w:r>
          </w:p>
        </w:tc>
        <w:tc>
          <w:tcPr>
            <w:tcW w:type="dxa" w:w="38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Clinker substitution rate (SCM availability)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5A5A6E"/>
                <w:sz w:val="15"/>
                <w:szCs w:val="15"/>
              </w:rPr>
              <w:t xml:space="preserve">Average clinker-to-cement ratio in the region; availability of supplementary cementitious materials (fly ash, slag, calcined clay)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Clinker ratio (%)</w:t>
            </w:r>
          </w:p>
        </w:tc>
        <w:tc>
          <w:tcPr>
            <w:tcW w:type="dxa" w:w="2500"/>
            <w:shd w:fill="D6EFD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Clinker-to-cement ratio &lt; 0.65 t/t and Active SCM substitution programme is Yes</w:t>
            </w:r>
          </w:p>
        </w:tc>
        <w:tc>
          <w:tcPr>
            <w:tcW w:type="dxa" w:w="2500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Clinker-to-cement ratio &lt;= 0.8 t/t</w:t>
            </w:r>
          </w:p>
        </w:tc>
        <w:tc>
          <w:tcPr>
            <w:tcW w:type="dxa" w:w="2500"/>
            <w:shd w:fill="F7DA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Otherwise (neither H nor M holds)</w:t>
            </w:r>
          </w:p>
        </w:tc>
      </w:tr>
      <w:tr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CEM-R1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Regulation</w:t>
            </w:r>
          </w:p>
        </w:tc>
        <w:tc>
          <w:tcPr>
            <w:tcW w:type="dxa" w:w="38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Effective carbon price on cement production incl. border adjustment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5A5A6E"/>
                <w:sz w:val="15"/>
                <w:szCs w:val="15"/>
              </w:rPr>
              <w:t xml:space="preserve">ETS/carbon tax price applicable to cement, net of free allocation, adjusted for any import border levy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USD/tCO2 net of free allocation</w:t>
            </w:r>
          </w:p>
        </w:tc>
        <w:tc>
          <w:tcPr>
            <w:tcW w:type="dxa" w:w="2500"/>
            <w:shd w:fill="D6EFD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Carbon price applies to cement is Yes and Carbon price on cement &gt; 50 USD/tCO2 and Border carbon levy in force is Yes and Free allocation phase-out legislated is Yes</w:t>
            </w:r>
          </w:p>
        </w:tc>
        <w:tc>
          <w:tcPr>
            <w:tcW w:type="dxa" w:w="2500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Carbon price applies to cement is Yes and Carbon price on cement &gt;= 33.92 USD/tCO2</w:t>
            </w:r>
          </w:p>
        </w:tc>
        <w:tc>
          <w:tcPr>
            <w:tcW w:type="dxa" w:w="2500"/>
            <w:shd w:fill="F7DA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Otherwise (neither H nor M holds)</w:t>
            </w:r>
          </w:p>
        </w:tc>
      </w:tr>
      <w:tr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CEM-R2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Regulation</w:t>
            </w:r>
          </w:p>
        </w:tc>
        <w:tc>
          <w:tcPr>
            <w:tcW w:type="dxa" w:w="38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CCS infrastructure support scheme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5A5A6E"/>
                <w:sz w:val="15"/>
                <w:szCs w:val="15"/>
              </w:rPr>
              <w:t xml:space="preserve">Existence of public funding mechanism for CCS infrastructure (capture, transport, storage) applicable to cement plants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Binary/scope, EUR or USD committed</w:t>
            </w:r>
          </w:p>
        </w:tc>
        <w:tc>
          <w:tcPr>
            <w:tcW w:type="dxa" w:w="2500"/>
            <w:shd w:fill="D6EFD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Public CCS funding scheme is Yes and Funds disbursed to cement CCS is Yes</w:t>
            </w:r>
          </w:p>
        </w:tc>
        <w:tc>
          <w:tcPr>
            <w:tcW w:type="dxa" w:w="2500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Public CCS funding scheme is Yes</w:t>
            </w:r>
          </w:p>
        </w:tc>
        <w:tc>
          <w:tcPr>
            <w:tcW w:type="dxa" w:w="2500"/>
            <w:shd w:fill="F7DA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Otherwise (neither H nor M holds)</w:t>
            </w:r>
          </w:p>
        </w:tc>
      </w:tr>
      <w:tr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CEM-D1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Demand &amp; Economics</w:t>
            </w:r>
          </w:p>
        </w:tc>
        <w:tc>
          <w:tcPr>
            <w:tcW w:type="dxa" w:w="38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Low-carbon cement premium recoverability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5A5A6E"/>
                <w:sz w:val="15"/>
                <w:szCs w:val="15"/>
              </w:rPr>
              <w:t xml:space="preserve">Market premium for low-carbon/CCS-derived cement (USD/tonne) vs. conventional; share recoverable via green public procurement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USD/tonne premium; % public procurement covered</w:t>
            </w:r>
          </w:p>
        </w:tc>
        <w:tc>
          <w:tcPr>
            <w:tcW w:type="dxa" w:w="2500"/>
            <w:shd w:fill="D6EFD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Low-carbon cement procurement rule = binding and Binding demand as share of low-carbon capacity &gt;= [open: Material share of low-carbon capacity]</w:t>
            </w:r>
          </w:p>
        </w:tc>
        <w:tc>
          <w:tcPr>
            <w:tcW w:type="dxa" w:w="2500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Low-carbon cement procurement rule in binding, voluntary_or_pilot</w:t>
            </w:r>
          </w:p>
        </w:tc>
        <w:tc>
          <w:tcPr>
            <w:tcW w:type="dxa" w:w="2500"/>
            <w:shd w:fill="F7DA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Otherwise (neither H nor M holds)</w:t>
            </w:r>
          </w:p>
        </w:tc>
      </w:tr>
    </w:tbl>
    <w:p>
      <w:pPr>
        <w:pStyle w:val="Heading2"/>
        <w:spacing w:after="100" w:before="220"/>
      </w:pPr>
      <w:r>
        <w:rPr>
          <w:rFonts w:ascii="Calibri" w:cs="Calibri" w:eastAsia="Calibri" w:hAnsi="Calibri"/>
          <w:sz w:val="20"/>
          <w:szCs w:val="20"/>
        </w:rPr>
        <w:t xml:space="preserve">Chemicals (4 criteria)</w:t>
      </w:r>
    </w:p>
    <w:tbl>
      <w:tblPr>
        <w:tblW w:type="dxa" w:w="15398"/>
        <w:tblBorders>
          <w:top w:val="single" w:color="C9C9D4" w:sz="2"/>
          <w:left w:val="single" w:color="C9C9D4" w:sz="2"/>
          <w:bottom w:val="single" w:color="C9C9D4" w:sz="2"/>
          <w:right w:val="single" w:color="C9C9D4" w:sz="2"/>
          <w:insideH w:val="single" w:color="DEDEE6" w:sz="2"/>
          <w:insideV w:val="single" w:color="DEDEE6" w:sz="2"/>
        </w:tblBorders>
      </w:tblPr>
      <w:tblGrid>
        <w:gridCol w:w="1000"/>
        <w:gridCol w:w="1500"/>
        <w:gridCol w:w="3898"/>
        <w:gridCol w:w="1500"/>
        <w:gridCol w:w="2500"/>
        <w:gridCol w:w="2500"/>
        <w:gridCol w:w="2500"/>
      </w:tblGrid>
      <w:tr>
        <w:trPr>
          <w:tblHeader/>
        </w:trPr>
        <w:tc>
          <w:tcPr>
            <w:tcW w:type="dxa" w:w="10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Code</w:t>
            </w:r>
          </w:p>
        </w:tc>
        <w:tc>
          <w:tcPr>
            <w:tcW w:type="dxa" w:w="15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Pillar</w:t>
            </w:r>
          </w:p>
        </w:tc>
        <w:tc>
          <w:tcPr>
            <w:tcW w:type="dxa" w:w="3898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Criterion / metric</w:t>
            </w:r>
          </w:p>
        </w:tc>
        <w:tc>
          <w:tcPr>
            <w:tcW w:type="dxa" w:w="15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Unit</w:t>
            </w:r>
          </w:p>
        </w:tc>
        <w:tc>
          <w:tcPr>
            <w:tcW w:type="dxa" w:w="25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H — more feasible</w:t>
            </w:r>
          </w:p>
        </w:tc>
        <w:tc>
          <w:tcPr>
            <w:tcW w:type="dxa" w:w="25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M</w:t>
            </w:r>
          </w:p>
        </w:tc>
        <w:tc>
          <w:tcPr>
            <w:tcW w:type="dxa" w:w="25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L — less feasible</w:t>
            </w:r>
          </w:p>
        </w:tc>
      </w:tr>
      <w:tr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CHM-T1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Technology</w:t>
            </w:r>
          </w:p>
        </w:tc>
        <w:tc>
          <w:tcPr>
            <w:tcW w:type="dxa" w:w="38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Green/blue hydrogen availability for ammonia and feedstock use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5A5A6E"/>
                <w:sz w:val="15"/>
                <w:szCs w:val="15"/>
              </w:rPr>
              <w:t xml:space="preserve">Delivered cost of low-carbon hydrogen (USD/kg) vs. grey hydrogen cost at prevailing natural gas price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USD/kg H2, cost ratio</w:t>
            </w:r>
          </w:p>
        </w:tc>
        <w:tc>
          <w:tcPr>
            <w:tcW w:type="dxa" w:w="2500"/>
            <w:shd w:fill="D6EFD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Low-carbon hydrogen supply present is Yes and (Low-carbon to grey hydrogen cost &lt;= 1.2 or Low-carbon hydrogen cost &lt;= Grey hydrogen cost with carbon price)</w:t>
            </w:r>
          </w:p>
        </w:tc>
        <w:tc>
          <w:tcPr>
            <w:tcW w:type="dxa" w:w="2500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Low-carbon hydrogen supply present is Yes and Low-carbon to grey hydrogen cost &lt;= 2</w:t>
            </w:r>
          </w:p>
        </w:tc>
        <w:tc>
          <w:tcPr>
            <w:tcW w:type="dxa" w:w="2500"/>
            <w:shd w:fill="F7DA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Otherwise (neither H nor M holds)</w:t>
            </w:r>
          </w:p>
        </w:tc>
      </w:tr>
      <w:tr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CHM-T2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Technology</w:t>
            </w:r>
          </w:p>
        </w:tc>
        <w:tc>
          <w:tcPr>
            <w:tcW w:type="dxa" w:w="38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Electrification of process heat (steam cracking) readiness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5A5A6E"/>
                <w:sz w:val="15"/>
                <w:szCs w:val="15"/>
              </w:rPr>
              <w:t xml:space="preserve">TRL of electric steam cracker technology; number of announced/piloted electric cracker projects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TRL, project count</w:t>
            </w:r>
          </w:p>
        </w:tc>
        <w:tc>
          <w:tcPr>
            <w:tcW w:type="dxa" w:w="2500"/>
            <w:shd w:fill="D6EFD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Electric cracking readiness in the region &gt;= 7 TRL and Commercial-scale electric cracker operating or at FID is Yes</w:t>
            </w:r>
          </w:p>
        </w:tc>
        <w:tc>
          <w:tcPr>
            <w:tcW w:type="dxa" w:w="2500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Electric cracking readiness in the region &gt;= 5 TRL</w:t>
            </w:r>
          </w:p>
        </w:tc>
        <w:tc>
          <w:tcPr>
            <w:tcW w:type="dxa" w:w="2500"/>
            <w:shd w:fill="F7DA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Otherwise (neither H nor M holds)</w:t>
            </w:r>
          </w:p>
        </w:tc>
      </w:tr>
      <w:tr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CHM-R1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Regulation</w:t>
            </w:r>
          </w:p>
        </w:tc>
        <w:tc>
          <w:tcPr>
            <w:tcW w:type="dxa" w:w="38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Effective carbon price on chemicals production incl. border adjustment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5A5A6E"/>
                <w:sz w:val="15"/>
                <w:szCs w:val="15"/>
              </w:rPr>
              <w:t xml:space="preserve">ETS/carbon tax price applicable to chemicals production, net of free allocation, adjusted for any border levy where scope includes chemicals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USD/tCO2 net of free allocation</w:t>
            </w:r>
          </w:p>
        </w:tc>
        <w:tc>
          <w:tcPr>
            <w:tcW w:type="dxa" w:w="2500"/>
            <w:shd w:fill="D6EFD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Carbon price applies to chemicals is Yes and Carbon price on chemicals &gt; 50 USD/tCO2 and Border carbon levy in force for chemicals is Yes and Free allocation phase-out legislated for chemicals is Yes</w:t>
            </w:r>
          </w:p>
        </w:tc>
        <w:tc>
          <w:tcPr>
            <w:tcW w:type="dxa" w:w="2500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Carbon price applies to chemicals is Yes and Carbon price on chemicals &gt;= 33.92 USD/tCO2</w:t>
            </w:r>
          </w:p>
        </w:tc>
        <w:tc>
          <w:tcPr>
            <w:tcW w:type="dxa" w:w="2500"/>
            <w:shd w:fill="F7DA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Otherwise (neither H nor M holds)</w:t>
            </w:r>
          </w:p>
        </w:tc>
      </w:tr>
      <w:tr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CHM-D1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Demand &amp; Economics</w:t>
            </w:r>
          </w:p>
        </w:tc>
        <w:tc>
          <w:tcPr>
            <w:tcW w:type="dxa" w:w="38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Green ammonia/methanol offtake market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5A5A6E"/>
                <w:sz w:val="15"/>
                <w:szCs w:val="15"/>
              </w:rPr>
              <w:t xml:space="preserve">Volume (tonnes/year) of signed offtake agreements for green ammonia or green methanol, primarily driven by shipping fuel demand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Tonnes/year signed offtake</w:t>
            </w:r>
          </w:p>
        </w:tc>
        <w:tc>
          <w:tcPr>
            <w:tcW w:type="dxa" w:w="2500"/>
            <w:shd w:fill="D6EFD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Binding green ammonia or methanol offtake signed is Yes and Offtake premium disclosed is Yes and Signed green ammonia and methanol offtake &gt;= [open: Material offtake volume]</w:t>
            </w:r>
          </w:p>
        </w:tc>
        <w:tc>
          <w:tcPr>
            <w:tcW w:type="dxa" w:w="2500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Binding green ammonia or methanol offtake signed is Yes</w:t>
            </w:r>
          </w:p>
        </w:tc>
        <w:tc>
          <w:tcPr>
            <w:tcW w:type="dxa" w:w="2500"/>
            <w:shd w:fill="F7DA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Otherwise (neither H nor M holds)</w:t>
            </w:r>
          </w:p>
        </w:tc>
      </w:tr>
    </w:tbl>
    <w:p>
      <w:pPr>
        <w:pStyle w:val="Heading2"/>
        <w:spacing w:after="100" w:before="220"/>
      </w:pPr>
      <w:r>
        <w:rPr>
          <w:rFonts w:ascii="Calibri" w:cs="Calibri" w:eastAsia="Calibri" w:hAnsi="Calibri"/>
          <w:sz w:val="20"/>
          <w:szCs w:val="20"/>
        </w:rPr>
        <w:t xml:space="preserve">Critical Minerals &amp; Mining (4 criteria)</w:t>
      </w:r>
    </w:p>
    <w:tbl>
      <w:tblPr>
        <w:tblW w:type="dxa" w:w="15398"/>
        <w:tblBorders>
          <w:top w:val="single" w:color="C9C9D4" w:sz="2"/>
          <w:left w:val="single" w:color="C9C9D4" w:sz="2"/>
          <w:bottom w:val="single" w:color="C9C9D4" w:sz="2"/>
          <w:right w:val="single" w:color="C9C9D4" w:sz="2"/>
          <w:insideH w:val="single" w:color="DEDEE6" w:sz="2"/>
          <w:insideV w:val="single" w:color="DEDEE6" w:sz="2"/>
        </w:tblBorders>
      </w:tblPr>
      <w:tblGrid>
        <w:gridCol w:w="1000"/>
        <w:gridCol w:w="1500"/>
        <w:gridCol w:w="3898"/>
        <w:gridCol w:w="1500"/>
        <w:gridCol w:w="2500"/>
        <w:gridCol w:w="2500"/>
        <w:gridCol w:w="2500"/>
      </w:tblGrid>
      <w:tr>
        <w:trPr>
          <w:tblHeader/>
        </w:trPr>
        <w:tc>
          <w:tcPr>
            <w:tcW w:type="dxa" w:w="10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Code</w:t>
            </w:r>
          </w:p>
        </w:tc>
        <w:tc>
          <w:tcPr>
            <w:tcW w:type="dxa" w:w="15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Pillar</w:t>
            </w:r>
          </w:p>
        </w:tc>
        <w:tc>
          <w:tcPr>
            <w:tcW w:type="dxa" w:w="3898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Criterion / metric</w:t>
            </w:r>
          </w:p>
        </w:tc>
        <w:tc>
          <w:tcPr>
            <w:tcW w:type="dxa" w:w="15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Unit</w:t>
            </w:r>
          </w:p>
        </w:tc>
        <w:tc>
          <w:tcPr>
            <w:tcW w:type="dxa" w:w="25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H — more feasible</w:t>
            </w:r>
          </w:p>
        </w:tc>
        <w:tc>
          <w:tcPr>
            <w:tcW w:type="dxa" w:w="25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M</w:t>
            </w:r>
          </w:p>
        </w:tc>
        <w:tc>
          <w:tcPr>
            <w:tcW w:type="dxa" w:w="25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L — less feasible</w:t>
            </w:r>
          </w:p>
        </w:tc>
      </w:tr>
      <w:tr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MIN-T1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Technology</w:t>
            </w:r>
          </w:p>
        </w:tc>
        <w:tc>
          <w:tcPr>
            <w:tcW w:type="dxa" w:w="38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Mine electrification and processing technology readiness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5A5A6E"/>
                <w:sz w:val="15"/>
                <w:szCs w:val="15"/>
              </w:rPr>
              <w:t xml:space="preserve">Share of new mining equipment orders that are battery-electric; TRL of electrified ore processing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% of equipment orders</w:t>
            </w:r>
          </w:p>
        </w:tc>
        <w:tc>
          <w:tcPr>
            <w:tcW w:type="dxa" w:w="2500"/>
            <w:shd w:fill="D6EFD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Battery-electric equipment in production at more than one mine is Yes and Battery-electric share of equipment orders &gt;= [open: At-scale battery-electric order share]</w:t>
            </w:r>
          </w:p>
        </w:tc>
        <w:tc>
          <w:tcPr>
            <w:tcW w:type="dxa" w:w="2500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Battery-electric equipment at an operating mine is Yes</w:t>
            </w:r>
          </w:p>
        </w:tc>
        <w:tc>
          <w:tcPr>
            <w:tcW w:type="dxa" w:w="2500"/>
            <w:shd w:fill="F7DA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Otherwise (neither H nor M holds)</w:t>
            </w:r>
          </w:p>
        </w:tc>
      </w:tr>
      <w:tr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MIN-R1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Regulation</w:t>
            </w:r>
          </w:p>
        </w:tc>
        <w:tc>
          <w:tcPr>
            <w:tcW w:type="dxa" w:w="38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Fast-track permitting regime for strategic minerals projects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5A5A6E"/>
                <w:sz w:val="15"/>
                <w:szCs w:val="15"/>
              </w:rPr>
              <w:t xml:space="preserve">Statutory maximum permitting timeline (months) for a designated strategic minerals project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Months</w:t>
            </w:r>
          </w:p>
        </w:tc>
        <w:tc>
          <w:tcPr>
            <w:tcW w:type="dxa" w:w="2500"/>
            <w:shd w:fill="D6EFD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Fast-track permitting for strategic minerals projects = statutory and Statutory maximum permitting time &lt; 30 months</w:t>
            </w:r>
          </w:p>
        </w:tc>
        <w:tc>
          <w:tcPr>
            <w:tcW w:type="dxa" w:w="2500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Fast-track permitting for strategic minerals projects in statutory, discretionary or Standard permitting time &lt;= 60 months</w:t>
            </w:r>
          </w:p>
        </w:tc>
        <w:tc>
          <w:tcPr>
            <w:tcW w:type="dxa" w:w="2500"/>
            <w:shd w:fill="F7DA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Otherwise (neither H nor M holds)</w:t>
            </w:r>
          </w:p>
        </w:tc>
      </w:tr>
      <w:tr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MIN-R2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Regulation</w:t>
            </w:r>
          </w:p>
        </w:tc>
        <w:tc>
          <w:tcPr>
            <w:tcW w:type="dxa" w:w="38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Domestic sourcing / content requirement policy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5A5A6E"/>
                <w:sz w:val="15"/>
                <w:szCs w:val="15"/>
              </w:rPr>
              <w:t xml:space="preserve">Existence and threshold of domestic or allied-sourcing content requirements tied to subsidy eligibility or public procurement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Binary, % threshold</w:t>
            </w:r>
          </w:p>
        </w:tc>
        <w:tc>
          <w:tcPr>
            <w:tcW w:type="dxa" w:w="2500"/>
            <w:shd w:fill="D6EFD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Domestic or allied content requirement = binding and Required domestic or allied content &gt;= [open: Low content threshold] and Subsidy tied to the requirement &gt;= [open: Material subsidy value]</w:t>
            </w:r>
          </w:p>
        </w:tc>
        <w:tc>
          <w:tcPr>
            <w:tcW w:type="dxa" w:w="2500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Domestic or allied content requirement in binding, other</w:t>
            </w:r>
          </w:p>
        </w:tc>
        <w:tc>
          <w:tcPr>
            <w:tcW w:type="dxa" w:w="2500"/>
            <w:shd w:fill="F7DA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Otherwise (neither H nor M holds)</w:t>
            </w:r>
          </w:p>
        </w:tc>
      </w:tr>
      <w:tr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MIN-D1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Demand &amp; Economics</w:t>
            </w:r>
          </w:p>
        </w:tc>
        <w:tc>
          <w:tcPr>
            <w:tcW w:type="dxa" w:w="38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Committed offtake and supply agreements vs. identified demand gap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5A5A6E"/>
                <w:sz w:val="15"/>
                <w:szCs w:val="15"/>
              </w:rPr>
              <w:t xml:space="preserve">Volume of long-term offtake agreements signed (tonnes/year) as a share of the region's projected NZE-scenario demand gap for the mineral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% of demand gap covered</w:t>
            </w:r>
          </w:p>
        </w:tc>
        <w:tc>
          <w:tcPr>
            <w:tcW w:type="dxa" w:w="2500"/>
            <w:shd w:fill="D6EFD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No projected lithium supply gap is Yes or Share of lithium supply gap covered &gt;= [open: Material share of the supply gap]</w:t>
            </w:r>
          </w:p>
        </w:tc>
        <w:tc>
          <w:tcPr>
            <w:tcW w:type="dxa" w:w="2500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Share of lithium supply gap covered &gt;= [open: Minimal share of the supply gap]</w:t>
            </w:r>
          </w:p>
        </w:tc>
        <w:tc>
          <w:tcPr>
            <w:tcW w:type="dxa" w:w="2500"/>
            <w:shd w:fill="F7DA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Otherwise (neither H nor M holds)</w:t>
            </w:r>
          </w:p>
        </w:tc>
      </w:tr>
    </w:tbl>
    <w:p>
      <w:pPr>
        <w:pStyle w:val="Heading2"/>
        <w:spacing w:after="100" w:before="220"/>
      </w:pPr>
      <w:r>
        <w:rPr>
          <w:rFonts w:ascii="Calibri" w:cs="Calibri" w:eastAsia="Calibri" w:hAnsi="Calibri"/>
          <w:sz w:val="20"/>
          <w:szCs w:val="20"/>
        </w:rPr>
        <w:t xml:space="preserve">Aviation (3 criteria)</w:t>
      </w:r>
    </w:p>
    <w:tbl>
      <w:tblPr>
        <w:tblW w:type="dxa" w:w="15398"/>
        <w:tblBorders>
          <w:top w:val="single" w:color="C9C9D4" w:sz="2"/>
          <w:left w:val="single" w:color="C9C9D4" w:sz="2"/>
          <w:bottom w:val="single" w:color="C9C9D4" w:sz="2"/>
          <w:right w:val="single" w:color="C9C9D4" w:sz="2"/>
          <w:insideH w:val="single" w:color="DEDEE6" w:sz="2"/>
          <w:insideV w:val="single" w:color="DEDEE6" w:sz="2"/>
        </w:tblBorders>
      </w:tblPr>
      <w:tblGrid>
        <w:gridCol w:w="1000"/>
        <w:gridCol w:w="1500"/>
        <w:gridCol w:w="3898"/>
        <w:gridCol w:w="1500"/>
        <w:gridCol w:w="2500"/>
        <w:gridCol w:w="2500"/>
        <w:gridCol w:w="2500"/>
      </w:tblGrid>
      <w:tr>
        <w:trPr>
          <w:tblHeader/>
        </w:trPr>
        <w:tc>
          <w:tcPr>
            <w:tcW w:type="dxa" w:w="10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Code</w:t>
            </w:r>
          </w:p>
        </w:tc>
        <w:tc>
          <w:tcPr>
            <w:tcW w:type="dxa" w:w="15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Pillar</w:t>
            </w:r>
          </w:p>
        </w:tc>
        <w:tc>
          <w:tcPr>
            <w:tcW w:type="dxa" w:w="3898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Criterion / metric</w:t>
            </w:r>
          </w:p>
        </w:tc>
        <w:tc>
          <w:tcPr>
            <w:tcW w:type="dxa" w:w="15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Unit</w:t>
            </w:r>
          </w:p>
        </w:tc>
        <w:tc>
          <w:tcPr>
            <w:tcW w:type="dxa" w:w="25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H — more feasible</w:t>
            </w:r>
          </w:p>
        </w:tc>
        <w:tc>
          <w:tcPr>
            <w:tcW w:type="dxa" w:w="25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M</w:t>
            </w:r>
          </w:p>
        </w:tc>
        <w:tc>
          <w:tcPr>
            <w:tcW w:type="dxa" w:w="25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L — less feasible</w:t>
            </w:r>
          </w:p>
        </w:tc>
      </w:tr>
      <w:tr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AVI-T1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Technology</w:t>
            </w:r>
          </w:p>
        </w:tc>
        <w:tc>
          <w:tcPr>
            <w:tcW w:type="dxa" w:w="38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SAF production capacity vs. jet fuel demand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5A5A6E"/>
                <w:sz w:val="15"/>
                <w:szCs w:val="15"/>
              </w:rPr>
              <w:t xml:space="preserve">Regional SAF production capacity (million litres/year) as a share of total regional jet fuel demand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% of jet fuel demand</w:t>
            </w:r>
          </w:p>
        </w:tc>
        <w:tc>
          <w:tcPr>
            <w:tcW w:type="dxa" w:w="2500"/>
            <w:shd w:fill="D6EFD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SAF capacity share of jet fuel demand &gt; 5% and SAF expansion at FID or under construction is Yes</w:t>
            </w:r>
          </w:p>
        </w:tc>
        <w:tc>
          <w:tcPr>
            <w:tcW w:type="dxa" w:w="2500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SAF capacity share of jet fuel demand &gt;= 1%</w:t>
            </w:r>
          </w:p>
        </w:tc>
        <w:tc>
          <w:tcPr>
            <w:tcW w:type="dxa" w:w="2500"/>
            <w:shd w:fill="F7DA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Otherwise (neither H nor M holds)</w:t>
            </w:r>
          </w:p>
        </w:tc>
      </w:tr>
      <w:tr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AVI-R1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Regulation</w:t>
            </w:r>
          </w:p>
        </w:tc>
        <w:tc>
          <w:tcPr>
            <w:tcW w:type="dxa" w:w="38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SAF blending mandate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5A5A6E"/>
                <w:sz w:val="15"/>
                <w:szCs w:val="15"/>
              </w:rPr>
              <w:t xml:space="preserve">Legally binding minimum SAF blending percentage by target year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% mandate by year</w:t>
            </w:r>
          </w:p>
        </w:tc>
        <w:tc>
          <w:tcPr>
            <w:tcW w:type="dxa" w:w="2500"/>
            <w:shd w:fill="D6EFD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SAF blending mandate = in_force and Mandated share rises by law is Yes and Penalties for missing the mandate is Yes</w:t>
            </w:r>
          </w:p>
        </w:tc>
        <w:tc>
          <w:tcPr>
            <w:tcW w:type="dxa" w:w="2500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SAF blending mandate in in_force, announced_or_voluntary</w:t>
            </w:r>
          </w:p>
        </w:tc>
        <w:tc>
          <w:tcPr>
            <w:tcW w:type="dxa" w:w="2500"/>
            <w:shd w:fill="F7DA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Otherwise (neither H nor M holds)</w:t>
            </w:r>
          </w:p>
        </w:tc>
      </w:tr>
      <w:tr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AVI-D1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Demand &amp; Economics</w:t>
            </w:r>
          </w:p>
        </w:tc>
        <w:tc>
          <w:tcPr>
            <w:tcW w:type="dxa" w:w="38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SAF price premium and corporate offtake coverage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5A5A6E"/>
                <w:sz w:val="15"/>
                <w:szCs w:val="15"/>
              </w:rPr>
              <w:t xml:space="preserve">SAF price premium vs. conventional jet fuel (USD/litre or multiple); volume covered by corporate/airline offtake agreements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Price multiple; % covered by offtake</w:t>
            </w:r>
          </w:p>
        </w:tc>
        <w:tc>
          <w:tcPr>
            <w:tcW w:type="dxa" w:w="2500"/>
            <w:shd w:fill="D6EFD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Premium offset mechanism in force is Yes and SAF offtake signed is Yes and Share of SAF premium offset &gt;= [open: Substantial offset share] and SAF offtake share of jet fuel demand &gt;= [open: Material offtake share]</w:t>
            </w:r>
          </w:p>
        </w:tc>
        <w:tc>
          <w:tcPr>
            <w:tcW w:type="dxa" w:w="2500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Premium offset mechanism in force is Yes or SAF offtake signed is Yes</w:t>
            </w:r>
          </w:p>
        </w:tc>
        <w:tc>
          <w:tcPr>
            <w:tcW w:type="dxa" w:w="2500"/>
            <w:shd w:fill="F7DA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Otherwise (neither H nor M holds)</w:t>
            </w:r>
          </w:p>
        </w:tc>
      </w:tr>
    </w:tbl>
    <w:p>
      <w:pPr>
        <w:pStyle w:val="Heading2"/>
        <w:spacing w:after="100" w:before="220"/>
      </w:pPr>
      <w:r>
        <w:rPr>
          <w:rFonts w:ascii="Calibri" w:cs="Calibri" w:eastAsia="Calibri" w:hAnsi="Calibri"/>
          <w:sz w:val="20"/>
          <w:szCs w:val="20"/>
        </w:rPr>
        <w:t xml:space="preserve">Shipping (3 criteria)</w:t>
      </w:r>
    </w:p>
    <w:tbl>
      <w:tblPr>
        <w:tblW w:type="dxa" w:w="15398"/>
        <w:tblBorders>
          <w:top w:val="single" w:color="C9C9D4" w:sz="2"/>
          <w:left w:val="single" w:color="C9C9D4" w:sz="2"/>
          <w:bottom w:val="single" w:color="C9C9D4" w:sz="2"/>
          <w:right w:val="single" w:color="C9C9D4" w:sz="2"/>
          <w:insideH w:val="single" w:color="DEDEE6" w:sz="2"/>
          <w:insideV w:val="single" w:color="DEDEE6" w:sz="2"/>
        </w:tblBorders>
      </w:tblPr>
      <w:tblGrid>
        <w:gridCol w:w="1000"/>
        <w:gridCol w:w="1500"/>
        <w:gridCol w:w="3898"/>
        <w:gridCol w:w="1500"/>
        <w:gridCol w:w="2500"/>
        <w:gridCol w:w="2500"/>
        <w:gridCol w:w="2500"/>
      </w:tblGrid>
      <w:tr>
        <w:trPr>
          <w:tblHeader/>
        </w:trPr>
        <w:tc>
          <w:tcPr>
            <w:tcW w:type="dxa" w:w="10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Code</w:t>
            </w:r>
          </w:p>
        </w:tc>
        <w:tc>
          <w:tcPr>
            <w:tcW w:type="dxa" w:w="15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Pillar</w:t>
            </w:r>
          </w:p>
        </w:tc>
        <w:tc>
          <w:tcPr>
            <w:tcW w:type="dxa" w:w="3898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Criterion / metric</w:t>
            </w:r>
          </w:p>
        </w:tc>
        <w:tc>
          <w:tcPr>
            <w:tcW w:type="dxa" w:w="15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Unit</w:t>
            </w:r>
          </w:p>
        </w:tc>
        <w:tc>
          <w:tcPr>
            <w:tcW w:type="dxa" w:w="25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H — more feasible</w:t>
            </w:r>
          </w:p>
        </w:tc>
        <w:tc>
          <w:tcPr>
            <w:tcW w:type="dxa" w:w="25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M</w:t>
            </w:r>
          </w:p>
        </w:tc>
        <w:tc>
          <w:tcPr>
            <w:tcW w:type="dxa" w:w="25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L — less feasible</w:t>
            </w:r>
          </w:p>
        </w:tc>
      </w:tr>
      <w:tr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SHP-T1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Technology</w:t>
            </w:r>
          </w:p>
        </w:tc>
        <w:tc>
          <w:tcPr>
            <w:tcW w:type="dxa" w:w="38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Dual-fuel/alternative-fuel vessel order book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5A5A6E"/>
                <w:sz w:val="15"/>
                <w:szCs w:val="15"/>
              </w:rPr>
              <w:t xml:space="preserve">Share of new vessel orders (by gross tonnage or vessel count) specified as methanol, ammonia, or LNG dual-fuel capable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% of new orders</w:t>
            </w:r>
          </w:p>
        </w:tc>
        <w:tc>
          <w:tcPr>
            <w:tcW w:type="dxa" w:w="2500"/>
            <w:shd w:fill="D6EFD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Alternative-fuel-capable share of new orders &gt; 30%</w:t>
            </w:r>
          </w:p>
        </w:tc>
        <w:tc>
          <w:tcPr>
            <w:tcW w:type="dxa" w:w="2500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Alternative-fuel-capable share of new orders &gt;= 10%</w:t>
            </w:r>
          </w:p>
        </w:tc>
        <w:tc>
          <w:tcPr>
            <w:tcW w:type="dxa" w:w="2500"/>
            <w:shd w:fill="F7DA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Otherwise (neither H nor M holds)</w:t>
            </w:r>
          </w:p>
        </w:tc>
      </w:tr>
      <w:tr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SHP-R1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Regulation</w:t>
            </w:r>
          </w:p>
        </w:tc>
        <w:tc>
          <w:tcPr>
            <w:tcW w:type="dxa" w:w="38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Effective carbon price / fuel intensity mandate on shipping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5A5A6E"/>
                <w:sz w:val="15"/>
                <w:szCs w:val="15"/>
              </w:rPr>
              <w:t xml:space="preserve">Carbon price applicable to shipping emissions (e.g. EU ETS maritime inclusion) and/or binding fuel greenhouse gas intensity reduction mandate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USD/tCO2; % intensity reduction mandate</w:t>
            </w:r>
          </w:p>
        </w:tc>
        <w:tc>
          <w:tcPr>
            <w:tcW w:type="dxa" w:w="2500"/>
            <w:shd w:fill="D6EFD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Carbon price applies to shipping is Yes and Binding fuel GHG intensity mandate applies is Yes</w:t>
            </w:r>
          </w:p>
        </w:tc>
        <w:tc>
          <w:tcPr>
            <w:tcW w:type="dxa" w:w="2500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Carbon price applies to shipping is Yes or Binding fuel GHG intensity mandate applies is Yes</w:t>
            </w:r>
          </w:p>
        </w:tc>
        <w:tc>
          <w:tcPr>
            <w:tcW w:type="dxa" w:w="2500"/>
            <w:shd w:fill="F7DA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Otherwise (neither H nor M holds)</w:t>
            </w:r>
          </w:p>
        </w:tc>
      </w:tr>
      <w:tr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SHP-D1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Demand &amp; Economics</w:t>
            </w:r>
          </w:p>
        </w:tc>
        <w:tc>
          <w:tcPr>
            <w:tcW w:type="dxa" w:w="38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Green shipping corridor and cargo owner offtake commitments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5A5A6E"/>
                <w:sz w:val="15"/>
                <w:szCs w:val="15"/>
              </w:rPr>
              <w:t xml:space="preserve">Number of announced green shipping corridors; volume of freight committed by cargo owners (via Cargo Owners for Zero Emission Vessels or equivalent) to low-carbon shipping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Corridor count; committed freight volume</w:t>
            </w:r>
          </w:p>
        </w:tc>
        <w:tc>
          <w:tcPr>
            <w:tcW w:type="dxa" w:w="2500"/>
            <w:shd w:fill="D6EFD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Corridors with committed cargo and a premium mechanism &gt; 1 corridors</w:t>
            </w:r>
          </w:p>
        </w:tc>
        <w:tc>
          <w:tcPr>
            <w:tcW w:type="dxa" w:w="2500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Corridor with signed cargo commitment is Yes</w:t>
            </w:r>
          </w:p>
        </w:tc>
        <w:tc>
          <w:tcPr>
            <w:tcW w:type="dxa" w:w="2500"/>
            <w:shd w:fill="F7DA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Otherwise (neither H nor M holds)</w:t>
            </w:r>
          </w:p>
        </w:tc>
      </w:tr>
    </w:tbl>
    <w:p>
      <w:pPr>
        <w:pStyle w:val="Heading2"/>
        <w:spacing w:after="100" w:before="220"/>
      </w:pPr>
      <w:r>
        <w:rPr>
          <w:rFonts w:ascii="Calibri" w:cs="Calibri" w:eastAsia="Calibri" w:hAnsi="Calibri"/>
          <w:sz w:val="20"/>
          <w:szCs w:val="20"/>
        </w:rPr>
        <w:t xml:space="preserve">Heavy-Duty Road Transport (3 criteria)</w:t>
      </w:r>
    </w:p>
    <w:tbl>
      <w:tblPr>
        <w:tblW w:type="dxa" w:w="15398"/>
        <w:tblBorders>
          <w:top w:val="single" w:color="C9C9D4" w:sz="2"/>
          <w:left w:val="single" w:color="C9C9D4" w:sz="2"/>
          <w:bottom w:val="single" w:color="C9C9D4" w:sz="2"/>
          <w:right w:val="single" w:color="C9C9D4" w:sz="2"/>
          <w:insideH w:val="single" w:color="DEDEE6" w:sz="2"/>
          <w:insideV w:val="single" w:color="DEDEE6" w:sz="2"/>
        </w:tblBorders>
      </w:tblPr>
      <w:tblGrid>
        <w:gridCol w:w="1000"/>
        <w:gridCol w:w="1500"/>
        <w:gridCol w:w="3898"/>
        <w:gridCol w:w="1500"/>
        <w:gridCol w:w="2500"/>
        <w:gridCol w:w="2500"/>
        <w:gridCol w:w="2500"/>
      </w:tblGrid>
      <w:tr>
        <w:trPr>
          <w:tblHeader/>
        </w:trPr>
        <w:tc>
          <w:tcPr>
            <w:tcW w:type="dxa" w:w="10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Code</w:t>
            </w:r>
          </w:p>
        </w:tc>
        <w:tc>
          <w:tcPr>
            <w:tcW w:type="dxa" w:w="15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Pillar</w:t>
            </w:r>
          </w:p>
        </w:tc>
        <w:tc>
          <w:tcPr>
            <w:tcW w:type="dxa" w:w="3898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Criterion / metric</w:t>
            </w:r>
          </w:p>
        </w:tc>
        <w:tc>
          <w:tcPr>
            <w:tcW w:type="dxa" w:w="15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Unit</w:t>
            </w:r>
          </w:p>
        </w:tc>
        <w:tc>
          <w:tcPr>
            <w:tcW w:type="dxa" w:w="25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H — more feasible</w:t>
            </w:r>
          </w:p>
        </w:tc>
        <w:tc>
          <w:tcPr>
            <w:tcW w:type="dxa" w:w="25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M</w:t>
            </w:r>
          </w:p>
        </w:tc>
        <w:tc>
          <w:tcPr>
            <w:tcW w:type="dxa" w:w="25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L — less feasible</w:t>
            </w:r>
          </w:p>
        </w:tc>
      </w:tr>
      <w:tr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HDT-T1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Technology</w:t>
            </w:r>
          </w:p>
        </w:tc>
        <w:tc>
          <w:tcPr>
            <w:tcW w:type="dxa" w:w="38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Battery-electric/fuel-cell truck TCO parity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5A5A6E"/>
                <w:sz w:val="15"/>
                <w:szCs w:val="15"/>
              </w:rPr>
              <w:t xml:space="preserve">Total cost of ownership (TCO) of battery-electric heavy truck vs. diesel equivalent for the dominant regional duty cycle (regional distribution vs. long-haul)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TCO ratio (BEV:diesel)</w:t>
            </w:r>
          </w:p>
        </w:tc>
        <w:tc>
          <w:tcPr>
            <w:tcW w:type="dxa" w:w="2500"/>
            <w:shd w:fill="D6EFD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Zero-emission truck TCO, regional &lt;= Diesel truck TCO, regional</w:t>
            </w:r>
          </w:p>
        </w:tc>
        <w:tc>
          <w:tcPr>
            <w:tcW w:type="dxa" w:w="2500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TCO ratio, regional &lt;= 1.2 or TCO ratio, long-haul &lt;= 1.2</w:t>
            </w:r>
          </w:p>
        </w:tc>
        <w:tc>
          <w:tcPr>
            <w:tcW w:type="dxa" w:w="2500"/>
            <w:shd w:fill="F7DA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Otherwise (neither H nor M holds)</w:t>
            </w:r>
          </w:p>
        </w:tc>
      </w:tr>
      <w:tr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HDT-R1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Regulation</w:t>
            </w:r>
          </w:p>
        </w:tc>
        <w:tc>
          <w:tcPr>
            <w:tcW w:type="dxa" w:w="38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Zero-emission heavy vehicle sales mandate or CO2 standard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5A5A6E"/>
                <w:sz w:val="15"/>
                <w:szCs w:val="15"/>
              </w:rPr>
              <w:t xml:space="preserve">Binding CO2 emission standard or zero-emission sales mandate for new heavy trucks, with target year and stringency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% reduction or % ZEV by year</w:t>
            </w:r>
          </w:p>
        </w:tc>
        <w:tc>
          <w:tcPr>
            <w:tcW w:type="dxa" w:w="2500"/>
            <w:shd w:fill="D6EFD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Heavy truck CO2 standard or ZEV mandate = in_force and Penalties for missing the standard is Yes and Required ZEV share of new heavy truck sales in 2030 &gt;= 30%</w:t>
            </w:r>
          </w:p>
        </w:tc>
        <w:tc>
          <w:tcPr>
            <w:tcW w:type="dxa" w:w="2500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Heavy truck CO2 standard or ZEV mandate in in_force, announced</w:t>
            </w:r>
          </w:p>
        </w:tc>
        <w:tc>
          <w:tcPr>
            <w:tcW w:type="dxa" w:w="2500"/>
            <w:shd w:fill="F7DA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Otherwise (neither H nor M holds)</w:t>
            </w:r>
          </w:p>
        </w:tc>
      </w:tr>
      <w:tr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HDT-D1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Demand &amp; Economics</w:t>
            </w:r>
          </w:p>
        </w:tc>
        <w:tc>
          <w:tcPr>
            <w:tcW w:type="dxa" w:w="38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Charging/refuelling infrastructure density on freight corridors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5A5A6E"/>
                <w:sz w:val="15"/>
                <w:szCs w:val="15"/>
              </w:rPr>
              <w:t xml:space="preserve">Number of public heavy-duty charging/hydrogen refuelling points per 100km on the region's primary freight corridors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Points per 100km</w:t>
            </w:r>
          </w:p>
        </w:tc>
        <w:tc>
          <w:tcPr>
            <w:tcW w:type="dxa" w:w="2500"/>
            <w:shd w:fill="D6EFD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Heavy-duty charging and refuelling density on primary freight corridors &gt;= 3.33 points per 100 km</w:t>
            </w:r>
          </w:p>
        </w:tc>
        <w:tc>
          <w:tcPr>
            <w:tcW w:type="dxa" w:w="2500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Heavy-duty charging and refuelling density on primary freight corridors &gt;= [open: Density above minimal]</w:t>
            </w:r>
          </w:p>
        </w:tc>
        <w:tc>
          <w:tcPr>
            <w:tcW w:type="dxa" w:w="2500"/>
            <w:shd w:fill="F7DA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Otherwise (neither H nor M holds)</w:t>
            </w:r>
          </w:p>
        </w:tc>
      </w:tr>
    </w:tbl>
    <w:p>
      <w:pPr>
        <w:pStyle w:val="Heading2"/>
        <w:spacing w:after="100" w:before="220"/>
      </w:pPr>
      <w:r>
        <w:rPr>
          <w:rFonts w:ascii="Calibri" w:cs="Calibri" w:eastAsia="Calibri" w:hAnsi="Calibri"/>
          <w:sz w:val="20"/>
          <w:szCs w:val="20"/>
        </w:rPr>
        <w:t xml:space="preserve">Oil &amp; Gas Upstream (3 criteria)</w:t>
      </w:r>
    </w:p>
    <w:tbl>
      <w:tblPr>
        <w:tblW w:type="dxa" w:w="15398"/>
        <w:tblBorders>
          <w:top w:val="single" w:color="C9C9D4" w:sz="2"/>
          <w:left w:val="single" w:color="C9C9D4" w:sz="2"/>
          <w:bottom w:val="single" w:color="C9C9D4" w:sz="2"/>
          <w:right w:val="single" w:color="C9C9D4" w:sz="2"/>
          <w:insideH w:val="single" w:color="DEDEE6" w:sz="2"/>
          <w:insideV w:val="single" w:color="DEDEE6" w:sz="2"/>
        </w:tblBorders>
      </w:tblPr>
      <w:tblGrid>
        <w:gridCol w:w="1000"/>
        <w:gridCol w:w="1500"/>
        <w:gridCol w:w="3898"/>
        <w:gridCol w:w="1500"/>
        <w:gridCol w:w="2500"/>
        <w:gridCol w:w="2500"/>
        <w:gridCol w:w="2500"/>
      </w:tblGrid>
      <w:tr>
        <w:trPr>
          <w:tblHeader/>
        </w:trPr>
        <w:tc>
          <w:tcPr>
            <w:tcW w:type="dxa" w:w="10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Code</w:t>
            </w:r>
          </w:p>
        </w:tc>
        <w:tc>
          <w:tcPr>
            <w:tcW w:type="dxa" w:w="15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Pillar</w:t>
            </w:r>
          </w:p>
        </w:tc>
        <w:tc>
          <w:tcPr>
            <w:tcW w:type="dxa" w:w="3898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Criterion / metric</w:t>
            </w:r>
          </w:p>
        </w:tc>
        <w:tc>
          <w:tcPr>
            <w:tcW w:type="dxa" w:w="15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Unit</w:t>
            </w:r>
          </w:p>
        </w:tc>
        <w:tc>
          <w:tcPr>
            <w:tcW w:type="dxa" w:w="25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H — more feasible</w:t>
            </w:r>
          </w:p>
        </w:tc>
        <w:tc>
          <w:tcPr>
            <w:tcW w:type="dxa" w:w="25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M</w:t>
            </w:r>
          </w:p>
        </w:tc>
        <w:tc>
          <w:tcPr>
            <w:tcW w:type="dxa" w:w="25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L — less feasible</w:t>
            </w:r>
          </w:p>
        </w:tc>
      </w:tr>
      <w:tr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OGU-T1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Technology</w:t>
            </w:r>
          </w:p>
        </w:tc>
        <w:tc>
          <w:tcPr>
            <w:tcW w:type="dxa" w:w="38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Methane abatement technology deployment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5A5A6E"/>
                <w:sz w:val="15"/>
                <w:szCs w:val="15"/>
              </w:rPr>
              <w:t xml:space="preserve">Share of regional upstream production covered by leak detection and repair (LDAR) programmes and flaring reduction technology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% of production covered</w:t>
            </w:r>
          </w:p>
        </w:tc>
        <w:tc>
          <w:tcPr>
            <w:tcW w:type="dxa" w:w="2500"/>
            <w:shd w:fill="D6EFD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Production covered by LDAR and flaring reduction &gt; 50%</w:t>
            </w:r>
          </w:p>
        </w:tc>
        <w:tc>
          <w:tcPr>
            <w:tcW w:type="dxa" w:w="2500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Deployed at the region's major operators is Yes</w:t>
            </w:r>
          </w:p>
        </w:tc>
        <w:tc>
          <w:tcPr>
            <w:tcW w:type="dxa" w:w="2500"/>
            <w:shd w:fill="F7DA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Otherwise (neither H nor M holds)</w:t>
            </w:r>
          </w:p>
        </w:tc>
      </w:tr>
      <w:tr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OGU-R1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Regulation</w:t>
            </w:r>
          </w:p>
        </w:tc>
        <w:tc>
          <w:tcPr>
            <w:tcW w:type="dxa" w:w="38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Methane regulation and fee structure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5A5A6E"/>
                <w:sz w:val="15"/>
                <w:szCs w:val="15"/>
              </w:rPr>
              <w:t xml:space="preserve">Existence of a binding methane emission limit or fee applicable to upstream operations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Binary; USD/tonne methane fee where applicable</w:t>
            </w:r>
          </w:p>
        </w:tc>
        <w:tc>
          <w:tcPr>
            <w:tcW w:type="dxa" w:w="2500"/>
            <w:shd w:fill="D6EFD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Binding methane limit or fee = in_force and Enforcement mechanism is Yes</w:t>
            </w:r>
          </w:p>
        </w:tc>
        <w:tc>
          <w:tcPr>
            <w:tcW w:type="dxa" w:w="2500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Binding methane limit or fee in in_force, phase_in</w:t>
            </w:r>
          </w:p>
        </w:tc>
        <w:tc>
          <w:tcPr>
            <w:tcW w:type="dxa" w:w="2500"/>
            <w:shd w:fill="F7DA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Otherwise (neither H nor M holds)</w:t>
            </w:r>
          </w:p>
        </w:tc>
      </w:tr>
      <w:tr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OGU-D1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Demand &amp; Economics</w:t>
            </w:r>
          </w:p>
        </w:tc>
        <w:tc>
          <w:tcPr>
            <w:tcW w:type="dxa" w:w="38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Market demand trajectory / structural decline exposure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5A5A6E"/>
                <w:sz w:val="15"/>
                <w:szCs w:val="15"/>
              </w:rPr>
              <w:t xml:space="preserve">Projected regional oil and gas demand trajectory to 2035 under stated policy vs. announced pledges scenarios (IEA)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% change in demand 2024-2035</w:t>
            </w:r>
          </w:p>
        </w:tc>
        <w:tc>
          <w:tcPr>
            <w:tcW w:type="dxa" w:w="2500"/>
            <w:shd w:fill="D6EFD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Oil and gas demand change to 2035 (stated policies) &gt;= [open: Largest decline still stable]</w:t>
            </w:r>
          </w:p>
        </w:tc>
        <w:tc>
          <w:tcPr>
            <w:tcW w:type="dxa" w:w="2500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Oil and gas demand change to 2035 (stated policies) &gt;= [open: Decline short of structural]</w:t>
            </w:r>
          </w:p>
        </w:tc>
        <w:tc>
          <w:tcPr>
            <w:tcW w:type="dxa" w:w="2500"/>
            <w:shd w:fill="F7DA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Otherwise (neither H nor M holds)</w:t>
            </w:r>
          </w:p>
        </w:tc>
      </w:tr>
    </w:tbl>
    <w:p>
      <w:r>
        <w:br w:type="page"/>
      </w:r>
    </w:p>
    <w:p>
      <w:pPr>
        <w:pStyle w:val="Heading1"/>
        <w:spacing w:after="160" w:before="0"/>
      </w:pPr>
      <w:r>
        <w:rPr>
          <w:rFonts w:ascii="Calibri" w:cs="Calibri" w:eastAsia="Calibri" w:hAnsi="Calibri"/>
          <w:sz w:val="20"/>
          <w:szCs w:val="20"/>
        </w:rPr>
        <w:t xml:space="preserve">The 105 ratings</w:t>
      </w:r>
    </w:p>
    <w:p>
      <w:pPr>
        <w:spacing w:after="200" w:before="0"/>
      </w:pPr>
      <w:r>
        <w:rPr>
          <w:rFonts w:ascii="Calibri" w:cs="Calibri" w:eastAsia="Calibri" w:hAnsi="Calibri"/>
          <w:sz w:val="20"/>
          <w:szCs w:val="20"/>
        </w:rPr>
        <w:t xml:space="preserve">Every criterion rated for all three regions, with the confidence tier attached to each rating.</w:t>
      </w:r>
    </w:p>
    <w:tbl>
      <w:tblPr>
        <w:tblW w:type="dxa" w:w="15398"/>
        <w:tblBorders>
          <w:top w:val="single" w:color="C9C9D4" w:sz="2"/>
          <w:left w:val="single" w:color="C9C9D4" w:sz="2"/>
          <w:bottom w:val="single" w:color="C9C9D4" w:sz="2"/>
          <w:right w:val="single" w:color="C9C9D4" w:sz="2"/>
          <w:insideH w:val="single" w:color="DEDEE6" w:sz="2"/>
          <w:insideV w:val="single" w:color="DEDEE6" w:sz="2"/>
        </w:tblBorders>
      </w:tblPr>
      <w:tblGrid>
        <w:gridCol w:w="1100"/>
        <w:gridCol w:w="4200"/>
        <w:gridCol w:w="3366"/>
        <w:gridCol w:w="3366"/>
        <w:gridCol w:w="3366"/>
      </w:tblGrid>
      <w:tr>
        <w:trPr>
          <w:tblHeader/>
        </w:trPr>
        <w:tc>
          <w:tcPr>
            <w:tcW w:type="dxa" w:w="11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Code</w:t>
            </w:r>
          </w:p>
        </w:tc>
        <w:tc>
          <w:tcPr>
            <w:tcW w:type="dxa" w:w="42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Criterion</w:t>
            </w:r>
          </w:p>
        </w:tc>
        <w:tc>
          <w:tcPr>
            <w:tcW w:type="dxa" w:w="3366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European Union</w:t>
            </w:r>
          </w:p>
        </w:tc>
        <w:tc>
          <w:tcPr>
            <w:tcW w:type="dxa" w:w="3366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United States</w:t>
            </w:r>
          </w:p>
        </w:tc>
        <w:tc>
          <w:tcPr>
            <w:tcW w:type="dxa" w:w="3366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China</w:t>
            </w:r>
          </w:p>
        </w:tc>
      </w:tr>
      <w:tr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PWR-T1</w:t>
            </w:r>
          </w:p>
        </w:tc>
        <w:tc>
          <w:tcPr>
            <w:tcW w:type="dxa" w:w="4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Levelised cost of renewable generation vs. new-build fossil</w:t>
            </w:r>
          </w:p>
        </w:tc>
        <w:tc>
          <w:tcPr>
            <w:tcW w:type="dxa" w:w="3366"/>
            <w:shd w:fill="D6EFD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H  (high)</w:t>
            </w:r>
          </w:p>
        </w:tc>
        <w:tc>
          <w:tcPr>
            <w:tcW w:type="dxa" w:w="3366"/>
            <w:shd w:fill="D6EFD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H  (high)</w:t>
            </w:r>
          </w:p>
        </w:tc>
        <w:tc>
          <w:tcPr>
            <w:tcW w:type="dxa" w:w="3366"/>
            <w:shd w:fill="D6EFD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H  (medium)</w:t>
            </w:r>
          </w:p>
        </w:tc>
      </w:tr>
      <w:tr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PWR-T2</w:t>
            </w:r>
          </w:p>
        </w:tc>
        <w:tc>
          <w:tcPr>
            <w:tcW w:type="dxa" w:w="4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Grid-scale storage / firming technology readiness</w:t>
            </w:r>
          </w:p>
        </w:tc>
        <w:tc>
          <w:tcPr>
            <w:tcW w:type="dxa" w:w="3366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  (medium)</w:t>
            </w:r>
          </w:p>
        </w:tc>
        <w:tc>
          <w:tcPr>
            <w:tcW w:type="dxa" w:w="3366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  (medium)</w:t>
            </w:r>
          </w:p>
        </w:tc>
        <w:tc>
          <w:tcPr>
            <w:tcW w:type="dxa" w:w="3366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  (medium)</w:t>
            </w:r>
          </w:p>
        </w:tc>
      </w:tr>
      <w:tr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PWR-R1</w:t>
            </w:r>
          </w:p>
        </w:tc>
        <w:tc>
          <w:tcPr>
            <w:tcW w:type="dxa" w:w="4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Effective carbon price on power generation</w:t>
            </w:r>
          </w:p>
        </w:tc>
        <w:tc>
          <w:tcPr>
            <w:tcW w:type="dxa" w:w="3366"/>
            <w:shd w:fill="D6EFD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H  (high)</w:t>
            </w:r>
          </w:p>
        </w:tc>
        <w:tc>
          <w:tcPr>
            <w:tcW w:type="dxa" w:w="3366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  (high)</w:t>
            </w:r>
          </w:p>
        </w:tc>
        <w:tc>
          <w:tcPr>
            <w:tcW w:type="dxa" w:w="3366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  (high)</w:t>
            </w:r>
          </w:p>
        </w:tc>
      </w:tr>
      <w:tr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PWR-R2</w:t>
            </w:r>
          </w:p>
        </w:tc>
        <w:tc>
          <w:tcPr>
            <w:tcW w:type="dxa" w:w="4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Renewable deployment target and permitting regime</w:t>
            </w:r>
          </w:p>
        </w:tc>
        <w:tc>
          <w:tcPr>
            <w:tcW w:type="dxa" w:w="3366"/>
            <w:shd w:fill="D6EFD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H  (high)</w:t>
            </w:r>
          </w:p>
        </w:tc>
        <w:tc>
          <w:tcPr>
            <w:tcW w:type="dxa" w:w="3366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  (high)</w:t>
            </w:r>
          </w:p>
        </w:tc>
        <w:tc>
          <w:tcPr>
            <w:tcW w:type="dxa" w:w="3366"/>
            <w:shd w:fill="D6EFD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H  (high)</w:t>
            </w:r>
          </w:p>
        </w:tc>
      </w:tr>
      <w:tr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PWR-D1</w:t>
            </w:r>
          </w:p>
        </w:tc>
        <w:tc>
          <w:tcPr>
            <w:tcW w:type="dxa" w:w="4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Corporate and utility PPA market depth</w:t>
            </w:r>
          </w:p>
        </w:tc>
        <w:tc>
          <w:tcPr>
            <w:tcW w:type="dxa" w:w="3366"/>
            <w:shd w:fill="D6EFD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H  (medium)</w:t>
            </w:r>
          </w:p>
        </w:tc>
        <w:tc>
          <w:tcPr>
            <w:tcW w:type="dxa" w:w="3366"/>
            <w:shd w:fill="D6EFD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H  (medium)</w:t>
            </w:r>
          </w:p>
        </w:tc>
        <w:tc>
          <w:tcPr>
            <w:tcW w:type="dxa" w:w="3366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  (low)</w:t>
            </w:r>
          </w:p>
        </w:tc>
      </w:tr>
      <w:tr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STL-T1</w:t>
            </w:r>
          </w:p>
        </w:tc>
        <w:tc>
          <w:tcPr>
            <w:tcW w:type="dxa" w:w="4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Green hydrogen cost vs. DRI-H2 breakeven</w:t>
            </w:r>
          </w:p>
        </w:tc>
        <w:tc>
          <w:tcPr>
            <w:tcW w:type="dxa" w:w="3366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  (medium)</w:t>
            </w:r>
          </w:p>
        </w:tc>
        <w:tc>
          <w:tcPr>
            <w:tcW w:type="dxa" w:w="3366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  (high)</w:t>
            </w:r>
          </w:p>
        </w:tc>
        <w:tc>
          <w:tcPr>
            <w:tcW w:type="dxa" w:w="3366"/>
            <w:shd w:fill="F7DA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L  (low)</w:t>
            </w:r>
          </w:p>
        </w:tc>
      </w:tr>
      <w:tr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STL-T2</w:t>
            </w:r>
          </w:p>
        </w:tc>
        <w:tc>
          <w:tcPr>
            <w:tcW w:type="dxa" w:w="4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Scrap steel availability (EAF route feasibility)</w:t>
            </w:r>
          </w:p>
        </w:tc>
        <w:tc>
          <w:tcPr>
            <w:tcW w:type="dxa" w:w="3366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  (medium)</w:t>
            </w:r>
          </w:p>
        </w:tc>
        <w:tc>
          <w:tcPr>
            <w:tcW w:type="dxa" w:w="3366"/>
            <w:shd w:fill="D6EFD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H  (high)</w:t>
            </w:r>
          </w:p>
        </w:tc>
        <w:tc>
          <w:tcPr>
            <w:tcW w:type="dxa" w:w="3366"/>
            <w:shd w:fill="F7DA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L  (medium)</w:t>
            </w:r>
          </w:p>
        </w:tc>
      </w:tr>
      <w:tr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STL-R1</w:t>
            </w:r>
          </w:p>
        </w:tc>
        <w:tc>
          <w:tcPr>
            <w:tcW w:type="dxa" w:w="4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Effective carbon price on steel production incl. border adjustment</w:t>
            </w:r>
          </w:p>
        </w:tc>
        <w:tc>
          <w:tcPr>
            <w:tcW w:type="dxa" w:w="3366"/>
            <w:shd w:fill="D6EFD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H  (high)</w:t>
            </w:r>
          </w:p>
        </w:tc>
        <w:tc>
          <w:tcPr>
            <w:tcW w:type="dxa" w:w="3366"/>
            <w:shd w:fill="F7DA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L  (high)</w:t>
            </w:r>
          </w:p>
        </w:tc>
        <w:tc>
          <w:tcPr>
            <w:tcW w:type="dxa" w:w="3366"/>
            <w:shd w:fill="F7DA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L  (high)</w:t>
            </w:r>
          </w:p>
        </w:tc>
      </w:tr>
      <w:tr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STL-R2</w:t>
            </w:r>
          </w:p>
        </w:tc>
        <w:tc>
          <w:tcPr>
            <w:tcW w:type="dxa" w:w="4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Green/low-carbon steel public procurement or building-code mandate</w:t>
            </w:r>
          </w:p>
        </w:tc>
        <w:tc>
          <w:tcPr>
            <w:tcW w:type="dxa" w:w="3366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  (medium)</w:t>
            </w:r>
          </w:p>
        </w:tc>
        <w:tc>
          <w:tcPr>
            <w:tcW w:type="dxa" w:w="3366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  (medium)</w:t>
            </w:r>
          </w:p>
        </w:tc>
        <w:tc>
          <w:tcPr>
            <w:tcW w:type="dxa" w:w="3366"/>
            <w:shd w:fill="F7DA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L  (low)</w:t>
            </w:r>
          </w:p>
        </w:tc>
      </w:tr>
      <w:tr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STL-D1</w:t>
            </w:r>
          </w:p>
        </w:tc>
        <w:tc>
          <w:tcPr>
            <w:tcW w:type="dxa" w:w="4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Green steel price premium and recoverability</w:t>
            </w:r>
          </w:p>
        </w:tc>
        <w:tc>
          <w:tcPr>
            <w:tcW w:type="dxa" w:w="3366"/>
            <w:shd w:fill="D6EFD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H  (high)</w:t>
            </w:r>
          </w:p>
        </w:tc>
        <w:tc>
          <w:tcPr>
            <w:tcW w:type="dxa" w:w="3366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  (medium)</w:t>
            </w:r>
          </w:p>
        </w:tc>
        <w:tc>
          <w:tcPr>
            <w:tcW w:type="dxa" w:w="3366"/>
            <w:shd w:fill="F7DA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L  (medium)</w:t>
            </w:r>
          </w:p>
        </w:tc>
      </w:tr>
      <w:tr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CEM-T1</w:t>
            </w:r>
          </w:p>
        </w:tc>
        <w:tc>
          <w:tcPr>
            <w:tcW w:type="dxa" w:w="4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CCS capture technology deployment status</w:t>
            </w:r>
          </w:p>
        </w:tc>
        <w:tc>
          <w:tcPr>
            <w:tcW w:type="dxa" w:w="3366"/>
            <w:shd w:fill="D6EFD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H  (high)</w:t>
            </w:r>
          </w:p>
        </w:tc>
        <w:tc>
          <w:tcPr>
            <w:tcW w:type="dxa" w:w="3366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  (medium)</w:t>
            </w:r>
          </w:p>
        </w:tc>
        <w:tc>
          <w:tcPr>
            <w:tcW w:type="dxa" w:w="3366"/>
            <w:shd w:fill="F7DA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L  (low)</w:t>
            </w:r>
          </w:p>
        </w:tc>
      </w:tr>
      <w:tr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CEM-T2</w:t>
            </w:r>
          </w:p>
        </w:tc>
        <w:tc>
          <w:tcPr>
            <w:tcW w:type="dxa" w:w="4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Clinker substitution rate (SCM availability)</w:t>
            </w:r>
          </w:p>
        </w:tc>
        <w:tc>
          <w:tcPr>
            <w:tcW w:type="dxa" w:w="3366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  (medium)</w:t>
            </w:r>
          </w:p>
        </w:tc>
        <w:tc>
          <w:tcPr>
            <w:tcW w:type="dxa" w:w="3366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  (medium)</w:t>
            </w:r>
          </w:p>
        </w:tc>
        <w:tc>
          <w:tcPr>
            <w:tcW w:type="dxa" w:w="3366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  (low)</w:t>
            </w:r>
          </w:p>
        </w:tc>
      </w:tr>
      <w:tr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CEM-R1</w:t>
            </w:r>
          </w:p>
        </w:tc>
        <w:tc>
          <w:tcPr>
            <w:tcW w:type="dxa" w:w="4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Effective carbon price on cement production incl. border adjustment</w:t>
            </w:r>
          </w:p>
        </w:tc>
        <w:tc>
          <w:tcPr>
            <w:tcW w:type="dxa" w:w="3366"/>
            <w:shd w:fill="D6EFD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H  (high)</w:t>
            </w:r>
          </w:p>
        </w:tc>
        <w:tc>
          <w:tcPr>
            <w:tcW w:type="dxa" w:w="3366"/>
            <w:shd w:fill="F7DA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L  (high)</w:t>
            </w:r>
          </w:p>
        </w:tc>
        <w:tc>
          <w:tcPr>
            <w:tcW w:type="dxa" w:w="3366"/>
            <w:shd w:fill="F7DA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L  (high)</w:t>
            </w:r>
          </w:p>
        </w:tc>
      </w:tr>
      <w:tr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CEM-R2</w:t>
            </w:r>
          </w:p>
        </w:tc>
        <w:tc>
          <w:tcPr>
            <w:tcW w:type="dxa" w:w="4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CCS infrastructure support scheme</w:t>
            </w:r>
          </w:p>
        </w:tc>
        <w:tc>
          <w:tcPr>
            <w:tcW w:type="dxa" w:w="3366"/>
            <w:shd w:fill="D6EFD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H  (high)</w:t>
            </w:r>
          </w:p>
        </w:tc>
        <w:tc>
          <w:tcPr>
            <w:tcW w:type="dxa" w:w="3366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  (medium)</w:t>
            </w:r>
          </w:p>
        </w:tc>
        <w:tc>
          <w:tcPr>
            <w:tcW w:type="dxa" w:w="3366"/>
            <w:shd w:fill="F7DA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L  (low)</w:t>
            </w:r>
          </w:p>
        </w:tc>
      </w:tr>
      <w:tr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CEM-D1</w:t>
            </w:r>
          </w:p>
        </w:tc>
        <w:tc>
          <w:tcPr>
            <w:tcW w:type="dxa" w:w="4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Low-carbon cement premium recoverability</w:t>
            </w:r>
          </w:p>
        </w:tc>
        <w:tc>
          <w:tcPr>
            <w:tcW w:type="dxa" w:w="3366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  (medium)</w:t>
            </w:r>
          </w:p>
        </w:tc>
        <w:tc>
          <w:tcPr>
            <w:tcW w:type="dxa" w:w="3366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  (medium)</w:t>
            </w:r>
          </w:p>
        </w:tc>
        <w:tc>
          <w:tcPr>
            <w:tcW w:type="dxa" w:w="3366"/>
            <w:shd w:fill="F7DA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L  (low)</w:t>
            </w:r>
          </w:p>
        </w:tc>
      </w:tr>
      <w:tr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CHM-T1</w:t>
            </w:r>
          </w:p>
        </w:tc>
        <w:tc>
          <w:tcPr>
            <w:tcW w:type="dxa" w:w="4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Green/blue hydrogen availability for ammonia and feedstock use</w:t>
            </w:r>
          </w:p>
        </w:tc>
        <w:tc>
          <w:tcPr>
            <w:tcW w:type="dxa" w:w="3366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  (medium)</w:t>
            </w:r>
          </w:p>
        </w:tc>
        <w:tc>
          <w:tcPr>
            <w:tcW w:type="dxa" w:w="3366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  (high)</w:t>
            </w:r>
          </w:p>
        </w:tc>
        <w:tc>
          <w:tcPr>
            <w:tcW w:type="dxa" w:w="3366"/>
            <w:shd w:fill="F7DA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L  (low)</w:t>
            </w:r>
          </w:p>
        </w:tc>
      </w:tr>
      <w:tr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CHM-T2</w:t>
            </w:r>
          </w:p>
        </w:tc>
        <w:tc>
          <w:tcPr>
            <w:tcW w:type="dxa" w:w="4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Electrification of process heat (steam cracking) readiness</w:t>
            </w:r>
          </w:p>
        </w:tc>
        <w:tc>
          <w:tcPr>
            <w:tcW w:type="dxa" w:w="3366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  (medium)</w:t>
            </w:r>
          </w:p>
        </w:tc>
        <w:tc>
          <w:tcPr>
            <w:tcW w:type="dxa" w:w="3366"/>
            <w:shd w:fill="F7DA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L  (low)</w:t>
            </w:r>
          </w:p>
        </w:tc>
        <w:tc>
          <w:tcPr>
            <w:tcW w:type="dxa" w:w="3366"/>
            <w:shd w:fill="F7DA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L  (low)</w:t>
            </w:r>
          </w:p>
        </w:tc>
      </w:tr>
      <w:tr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CHM-R1</w:t>
            </w:r>
          </w:p>
        </w:tc>
        <w:tc>
          <w:tcPr>
            <w:tcW w:type="dxa" w:w="4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Effective carbon price on chemicals production incl. border adjustment</w:t>
            </w:r>
          </w:p>
        </w:tc>
        <w:tc>
          <w:tcPr>
            <w:tcW w:type="dxa" w:w="3366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  (medium)</w:t>
            </w:r>
          </w:p>
        </w:tc>
        <w:tc>
          <w:tcPr>
            <w:tcW w:type="dxa" w:w="3366"/>
            <w:shd w:fill="F7DA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L  (high)</w:t>
            </w:r>
          </w:p>
        </w:tc>
        <w:tc>
          <w:tcPr>
            <w:tcW w:type="dxa" w:w="3366"/>
            <w:shd w:fill="F7DA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L  (medium)</w:t>
            </w:r>
          </w:p>
        </w:tc>
      </w:tr>
      <w:tr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CHM-D1</w:t>
            </w:r>
          </w:p>
        </w:tc>
        <w:tc>
          <w:tcPr>
            <w:tcW w:type="dxa" w:w="4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Green ammonia/methanol offtake market</w:t>
            </w:r>
          </w:p>
        </w:tc>
        <w:tc>
          <w:tcPr>
            <w:tcW w:type="dxa" w:w="3366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  (medium)</w:t>
            </w:r>
          </w:p>
        </w:tc>
        <w:tc>
          <w:tcPr>
            <w:tcW w:type="dxa" w:w="3366"/>
            <w:shd w:fill="F7DA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L  (low)</w:t>
            </w:r>
          </w:p>
        </w:tc>
        <w:tc>
          <w:tcPr>
            <w:tcW w:type="dxa" w:w="3366"/>
            <w:shd w:fill="F7DA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L  (low)</w:t>
            </w:r>
          </w:p>
        </w:tc>
      </w:tr>
      <w:tr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MIN-T1</w:t>
            </w:r>
          </w:p>
        </w:tc>
        <w:tc>
          <w:tcPr>
            <w:tcW w:type="dxa" w:w="4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Mine electrification and processing technology readiness</w:t>
            </w:r>
          </w:p>
        </w:tc>
        <w:tc>
          <w:tcPr>
            <w:tcW w:type="dxa" w:w="3366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  (low)</w:t>
            </w:r>
          </w:p>
        </w:tc>
        <w:tc>
          <w:tcPr>
            <w:tcW w:type="dxa" w:w="3366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  (low)</w:t>
            </w:r>
          </w:p>
        </w:tc>
        <w:tc>
          <w:tcPr>
            <w:tcW w:type="dxa" w:w="3366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  (low)</w:t>
            </w:r>
          </w:p>
        </w:tc>
      </w:tr>
      <w:tr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MIN-R1</w:t>
            </w:r>
          </w:p>
        </w:tc>
        <w:tc>
          <w:tcPr>
            <w:tcW w:type="dxa" w:w="4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Fast-track permitting regime for strategic minerals projects</w:t>
            </w:r>
          </w:p>
        </w:tc>
        <w:tc>
          <w:tcPr>
            <w:tcW w:type="dxa" w:w="3366"/>
            <w:shd w:fill="D6EFD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H  (high)</w:t>
            </w:r>
          </w:p>
        </w:tc>
        <w:tc>
          <w:tcPr>
            <w:tcW w:type="dxa" w:w="3366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  (medium)</w:t>
            </w:r>
          </w:p>
        </w:tc>
        <w:tc>
          <w:tcPr>
            <w:tcW w:type="dxa" w:w="3366"/>
            <w:shd w:fill="D6EFD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H  (low)</w:t>
            </w:r>
          </w:p>
        </w:tc>
      </w:tr>
      <w:tr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MIN-R2</w:t>
            </w:r>
          </w:p>
        </w:tc>
        <w:tc>
          <w:tcPr>
            <w:tcW w:type="dxa" w:w="4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Domestic sourcing / content requirement policy</w:t>
            </w:r>
          </w:p>
        </w:tc>
        <w:tc>
          <w:tcPr>
            <w:tcW w:type="dxa" w:w="3366"/>
            <w:shd w:fill="D6EFD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H  (high)</w:t>
            </w:r>
          </w:p>
        </w:tc>
        <w:tc>
          <w:tcPr>
            <w:tcW w:type="dxa" w:w="3366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  (high)</w:t>
            </w:r>
          </w:p>
        </w:tc>
        <w:tc>
          <w:tcPr>
            <w:tcW w:type="dxa" w:w="3366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  (medium)</w:t>
            </w:r>
          </w:p>
        </w:tc>
      </w:tr>
      <w:tr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MIN-D1</w:t>
            </w:r>
          </w:p>
        </w:tc>
        <w:tc>
          <w:tcPr>
            <w:tcW w:type="dxa" w:w="4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Committed offtake and supply agreements vs. identified demand gap</w:t>
            </w:r>
          </w:p>
        </w:tc>
        <w:tc>
          <w:tcPr>
            <w:tcW w:type="dxa" w:w="3366"/>
            <w:shd w:fill="F7DA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L  (medium)</w:t>
            </w:r>
          </w:p>
        </w:tc>
        <w:tc>
          <w:tcPr>
            <w:tcW w:type="dxa" w:w="3366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  (medium)</w:t>
            </w:r>
          </w:p>
        </w:tc>
        <w:tc>
          <w:tcPr>
            <w:tcW w:type="dxa" w:w="3366"/>
            <w:shd w:fill="D6EFD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H  (medium)</w:t>
            </w:r>
          </w:p>
        </w:tc>
      </w:tr>
      <w:tr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AVI-T1</w:t>
            </w:r>
          </w:p>
        </w:tc>
        <w:tc>
          <w:tcPr>
            <w:tcW w:type="dxa" w:w="4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SAF production capacity vs. jet fuel demand</w:t>
            </w:r>
          </w:p>
        </w:tc>
        <w:tc>
          <w:tcPr>
            <w:tcW w:type="dxa" w:w="3366"/>
            <w:shd w:fill="F7DA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L  (medium)</w:t>
            </w:r>
          </w:p>
        </w:tc>
        <w:tc>
          <w:tcPr>
            <w:tcW w:type="dxa" w:w="3366"/>
            <w:shd w:fill="F7DA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L  (medium)</w:t>
            </w:r>
          </w:p>
        </w:tc>
        <w:tc>
          <w:tcPr>
            <w:tcW w:type="dxa" w:w="3366"/>
            <w:shd w:fill="F7DA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L  (low)</w:t>
            </w:r>
          </w:p>
        </w:tc>
      </w:tr>
      <w:tr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AVI-R1</w:t>
            </w:r>
          </w:p>
        </w:tc>
        <w:tc>
          <w:tcPr>
            <w:tcW w:type="dxa" w:w="4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SAF blending mandate</w:t>
            </w:r>
          </w:p>
        </w:tc>
        <w:tc>
          <w:tcPr>
            <w:tcW w:type="dxa" w:w="3366"/>
            <w:shd w:fill="D6EFD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H  (high)</w:t>
            </w:r>
          </w:p>
        </w:tc>
        <w:tc>
          <w:tcPr>
            <w:tcW w:type="dxa" w:w="3366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  (high)</w:t>
            </w:r>
          </w:p>
        </w:tc>
        <w:tc>
          <w:tcPr>
            <w:tcW w:type="dxa" w:w="3366"/>
            <w:shd w:fill="F7DA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L  (medium)</w:t>
            </w:r>
          </w:p>
        </w:tc>
      </w:tr>
      <w:tr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AVI-D1</w:t>
            </w:r>
          </w:p>
        </w:tc>
        <w:tc>
          <w:tcPr>
            <w:tcW w:type="dxa" w:w="4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SAF price premium and corporate offtake coverage</w:t>
            </w:r>
          </w:p>
        </w:tc>
        <w:tc>
          <w:tcPr>
            <w:tcW w:type="dxa" w:w="3366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  (medium)</w:t>
            </w:r>
          </w:p>
        </w:tc>
        <w:tc>
          <w:tcPr>
            <w:tcW w:type="dxa" w:w="3366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  (medium)</w:t>
            </w:r>
          </w:p>
        </w:tc>
        <w:tc>
          <w:tcPr>
            <w:tcW w:type="dxa" w:w="3366"/>
            <w:shd w:fill="F7DA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L  (low)</w:t>
            </w:r>
          </w:p>
        </w:tc>
      </w:tr>
      <w:tr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SHP-T1</w:t>
            </w:r>
          </w:p>
        </w:tc>
        <w:tc>
          <w:tcPr>
            <w:tcW w:type="dxa" w:w="4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Dual-fuel/alternative-fuel vessel order book</w:t>
            </w:r>
          </w:p>
        </w:tc>
        <w:tc>
          <w:tcPr>
            <w:tcW w:type="dxa" w:w="3366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  (medium)</w:t>
            </w:r>
          </w:p>
        </w:tc>
        <w:tc>
          <w:tcPr>
            <w:tcW w:type="dxa" w:w="3366"/>
            <w:shd w:fill="F7DA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L  (low)</w:t>
            </w:r>
          </w:p>
        </w:tc>
        <w:tc>
          <w:tcPr>
            <w:tcW w:type="dxa" w:w="3366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  (medium)</w:t>
            </w:r>
          </w:p>
        </w:tc>
      </w:tr>
      <w:tr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SHP-R1</w:t>
            </w:r>
          </w:p>
        </w:tc>
        <w:tc>
          <w:tcPr>
            <w:tcW w:type="dxa" w:w="4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Effective carbon price / fuel intensity mandate on shipping</w:t>
            </w:r>
          </w:p>
        </w:tc>
        <w:tc>
          <w:tcPr>
            <w:tcW w:type="dxa" w:w="3366"/>
            <w:shd w:fill="D6EFD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H  (high)</w:t>
            </w:r>
          </w:p>
        </w:tc>
        <w:tc>
          <w:tcPr>
            <w:tcW w:type="dxa" w:w="3366"/>
            <w:shd w:fill="F7DA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L  (medium)</w:t>
            </w:r>
          </w:p>
        </w:tc>
        <w:tc>
          <w:tcPr>
            <w:tcW w:type="dxa" w:w="3366"/>
            <w:shd w:fill="F7DA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L  (medium)</w:t>
            </w:r>
          </w:p>
        </w:tc>
      </w:tr>
      <w:tr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SHP-D1</w:t>
            </w:r>
          </w:p>
        </w:tc>
        <w:tc>
          <w:tcPr>
            <w:tcW w:type="dxa" w:w="4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Green shipping corridor and cargo owner offtake commitments</w:t>
            </w:r>
          </w:p>
        </w:tc>
        <w:tc>
          <w:tcPr>
            <w:tcW w:type="dxa" w:w="3366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  (medium)</w:t>
            </w:r>
          </w:p>
        </w:tc>
        <w:tc>
          <w:tcPr>
            <w:tcW w:type="dxa" w:w="3366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  (medium)</w:t>
            </w:r>
          </w:p>
        </w:tc>
        <w:tc>
          <w:tcPr>
            <w:tcW w:type="dxa" w:w="3366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  (low)</w:t>
            </w:r>
          </w:p>
        </w:tc>
      </w:tr>
      <w:tr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HDT-T1</w:t>
            </w:r>
          </w:p>
        </w:tc>
        <w:tc>
          <w:tcPr>
            <w:tcW w:type="dxa" w:w="4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Battery-electric/fuel-cell truck TCO parity</w:t>
            </w:r>
          </w:p>
        </w:tc>
        <w:tc>
          <w:tcPr>
            <w:tcW w:type="dxa" w:w="3366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  (medium)</w:t>
            </w:r>
          </w:p>
        </w:tc>
        <w:tc>
          <w:tcPr>
            <w:tcW w:type="dxa" w:w="3366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  (medium)</w:t>
            </w:r>
          </w:p>
        </w:tc>
        <w:tc>
          <w:tcPr>
            <w:tcW w:type="dxa" w:w="3366"/>
            <w:shd w:fill="D6EFD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H  (high)</w:t>
            </w:r>
          </w:p>
        </w:tc>
      </w:tr>
      <w:tr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HDT-R1</w:t>
            </w:r>
          </w:p>
        </w:tc>
        <w:tc>
          <w:tcPr>
            <w:tcW w:type="dxa" w:w="4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Zero-emission heavy vehicle sales mandate or CO2 standard</w:t>
            </w:r>
          </w:p>
        </w:tc>
        <w:tc>
          <w:tcPr>
            <w:tcW w:type="dxa" w:w="3366"/>
            <w:shd w:fill="D6EFD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H  (high)</w:t>
            </w:r>
          </w:p>
        </w:tc>
        <w:tc>
          <w:tcPr>
            <w:tcW w:type="dxa" w:w="3366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  (medium)</w:t>
            </w:r>
          </w:p>
        </w:tc>
        <w:tc>
          <w:tcPr>
            <w:tcW w:type="dxa" w:w="3366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  (medium)</w:t>
            </w:r>
          </w:p>
        </w:tc>
      </w:tr>
      <w:tr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HDT-D1</w:t>
            </w:r>
          </w:p>
        </w:tc>
        <w:tc>
          <w:tcPr>
            <w:tcW w:type="dxa" w:w="4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Charging/refuelling infrastructure density on freight corridors</w:t>
            </w:r>
          </w:p>
        </w:tc>
        <w:tc>
          <w:tcPr>
            <w:tcW w:type="dxa" w:w="3366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  (medium)</w:t>
            </w:r>
          </w:p>
        </w:tc>
        <w:tc>
          <w:tcPr>
            <w:tcW w:type="dxa" w:w="3366"/>
            <w:shd w:fill="F7DA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L  (medium)</w:t>
            </w:r>
          </w:p>
        </w:tc>
        <w:tc>
          <w:tcPr>
            <w:tcW w:type="dxa" w:w="3366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  (medium)</w:t>
            </w:r>
          </w:p>
        </w:tc>
      </w:tr>
      <w:tr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OGU-T1</w:t>
            </w:r>
          </w:p>
        </w:tc>
        <w:tc>
          <w:tcPr>
            <w:tcW w:type="dxa" w:w="4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Methane abatement technology deployment</w:t>
            </w:r>
          </w:p>
        </w:tc>
        <w:tc>
          <w:tcPr>
            <w:tcW w:type="dxa" w:w="3366"/>
            <w:shd w:fill="D6EFD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H  (medium)</w:t>
            </w:r>
          </w:p>
        </w:tc>
        <w:tc>
          <w:tcPr>
            <w:tcW w:type="dxa" w:w="3366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  (medium)</w:t>
            </w:r>
          </w:p>
        </w:tc>
        <w:tc>
          <w:tcPr>
            <w:tcW w:type="dxa" w:w="3366"/>
            <w:shd w:fill="F7DA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L  (low)</w:t>
            </w:r>
          </w:p>
        </w:tc>
      </w:tr>
      <w:tr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OGU-R1</w:t>
            </w:r>
          </w:p>
        </w:tc>
        <w:tc>
          <w:tcPr>
            <w:tcW w:type="dxa" w:w="4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Methane regulation and fee structure</w:t>
            </w:r>
          </w:p>
        </w:tc>
        <w:tc>
          <w:tcPr>
            <w:tcW w:type="dxa" w:w="3366"/>
            <w:shd w:fill="D6EFD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H  (high)</w:t>
            </w:r>
          </w:p>
        </w:tc>
        <w:tc>
          <w:tcPr>
            <w:tcW w:type="dxa" w:w="3366"/>
            <w:shd w:fill="F7DA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L  (high)</w:t>
            </w:r>
          </w:p>
        </w:tc>
        <w:tc>
          <w:tcPr>
            <w:tcW w:type="dxa" w:w="3366"/>
            <w:shd w:fill="F7DA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L  (medium)</w:t>
            </w:r>
          </w:p>
        </w:tc>
      </w:tr>
      <w:tr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OGU-D1</w:t>
            </w:r>
          </w:p>
        </w:tc>
        <w:tc>
          <w:tcPr>
            <w:tcW w:type="dxa" w:w="4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Market demand trajectory / structural decline exposure</w:t>
            </w:r>
          </w:p>
        </w:tc>
        <w:tc>
          <w:tcPr>
            <w:tcW w:type="dxa" w:w="3366"/>
            <w:shd w:fill="F7DA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L  (high)</w:t>
            </w:r>
          </w:p>
        </w:tc>
        <w:tc>
          <w:tcPr>
            <w:tcW w:type="dxa" w:w="3366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  (medium)</w:t>
            </w:r>
          </w:p>
        </w:tc>
        <w:tc>
          <w:tcPr>
            <w:tcW w:type="dxa" w:w="3366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  (medium)</w:t>
            </w:r>
          </w:p>
        </w:tc>
      </w:tr>
    </w:tbl>
    <w:p>
      <w:r>
        <w:br w:type="page"/>
      </w:r>
    </w:p>
    <w:p>
      <w:pPr>
        <w:pStyle w:val="Heading1"/>
        <w:spacing w:after="160" w:before="0"/>
      </w:pPr>
      <w:r>
        <w:rPr>
          <w:rFonts w:ascii="Calibri" w:cs="Calibri" w:eastAsia="Calibri" w:hAnsi="Calibri"/>
          <w:sz w:val="20"/>
          <w:szCs w:val="20"/>
        </w:rPr>
        <w:t xml:space="preserve">The 94 sources</w:t>
      </w:r>
    </w:p>
    <w:p>
      <w:pPr>
        <w:spacing w:after="200" w:before="0"/>
      </w:pPr>
      <w:r>
        <w:rPr>
          <w:rFonts w:ascii="Calibri" w:cs="Calibri" w:eastAsia="Calibri" w:hAnsi="Calibri"/>
          <w:sz w:val="20"/>
          <w:szCs w:val="20"/>
        </w:rPr>
        <w:t xml:space="preserve">Grouped by access pattern — how the source can actually be retrieved, which determines whether re-verification can be automated. Only the 15 legal/regulatory sources are automated today; the other 79 require manual verification. A source marked Manual cannot be fetched as a document; the reason is given.</w:t>
      </w:r>
    </w:p>
    <w:p>
      <w:pPr>
        <w:pStyle w:val="Heading2"/>
        <w:spacing w:after="60" w:before="220"/>
      </w:pPr>
      <w:r>
        <w:rPr>
          <w:rFonts w:ascii="Calibri" w:cs="Calibri" w:eastAsia="Calibri" w:hAnsi="Calibri"/>
          <w:sz w:val="20"/>
          <w:szCs w:val="20"/>
        </w:rPr>
        <w:t xml:space="preserve">Legal / regulatory text (15)</w:t>
      </w:r>
    </w:p>
    <w:p>
      <w:pPr>
        <w:spacing w:after="120" w:before="0"/>
      </w:pPr>
      <w:r>
        <w:rPr>
          <w:rFonts w:ascii="Calibri" w:cs="Calibri" w:eastAsia="Calibri" w:hAnsi="Calibri"/>
          <w:i/>
          <w:iCs/>
          <w:color w:val="5A5A6E"/>
          <w:sz w:val="20"/>
          <w:szCs w:val="20"/>
        </w:rPr>
        <w:t xml:space="preserve">Automated. Stable ELI/CELEX identifiers survive amendment, so version changes are detectable without scraping prose.</w:t>
      </w:r>
    </w:p>
    <w:tbl>
      <w:tblPr>
        <w:tblW w:type="dxa" w:w="15398"/>
        <w:tblBorders>
          <w:top w:val="single" w:color="C9C9D4" w:sz="2"/>
          <w:left w:val="single" w:color="C9C9D4" w:sz="2"/>
          <w:bottom w:val="single" w:color="C9C9D4" w:sz="2"/>
          <w:right w:val="single" w:color="C9C9D4" w:sz="2"/>
          <w:insideH w:val="single" w:color="DEDEE6" w:sz="2"/>
          <w:insideV w:val="single" w:color="DEDEE6" w:sz="2"/>
        </w:tblBorders>
      </w:tblPr>
      <w:tblGrid>
        <w:gridCol w:w="3600"/>
        <w:gridCol w:w="2600"/>
        <w:gridCol w:w="1900"/>
        <w:gridCol w:w="2100"/>
        <w:gridCol w:w="5198"/>
      </w:tblGrid>
      <w:tr>
        <w:trPr>
          <w:tblHeader/>
        </w:trPr>
        <w:tc>
          <w:tcPr>
            <w:tcW w:type="dxa" w:w="36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Source</w:t>
            </w:r>
          </w:p>
        </w:tc>
        <w:tc>
          <w:tcPr>
            <w:tcW w:type="dxa" w:w="26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Publisher</w:t>
            </w:r>
          </w:p>
        </w:tc>
        <w:tc>
          <w:tcPr>
            <w:tcW w:type="dxa" w:w="19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Criteria</w:t>
            </w:r>
          </w:p>
        </w:tc>
        <w:tc>
          <w:tcPr>
            <w:tcW w:type="dxa" w:w="21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Refresh cadence</w:t>
            </w:r>
          </w:p>
        </w:tc>
        <w:tc>
          <w:tcPr>
            <w:tcW w:type="dxa" w:w="5198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Where to look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qecwjezwhbiqisaz3zamp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EU Alternative Fuels Infrastructure Regulation (2023/1804) compliance tracking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European Commission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HDT-D1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quarterly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Article 4 for heavy-duty charging along the TEN-T road network (pool power and distance requirements, e.g. Article 4(1)(c)); Article 3 covers light-duty vehicles; Article 6 for hydrogen refuelling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cenepmyozndlcji3srpdu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EU CBAM Regulation - cement sector scope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European Commission / Official Journal of the EU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CEM-R1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check for amending acts quarterly; consolidated text updates automatically at EUR-Lex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Full regulation text; Annex I for sectoral scope (steel, cement, aluminium, fertilisers, electricity, hydrogen); definitive regime phase-in from 1 January 2026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loyipsdwokbqaenmym1n0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EU CBAM Regulation (2023/956) and implementing acts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European Commission / Official Journal of the EU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STL-R1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check for amending acts quarterly; consolidated text updates automatically at EUR-Lex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Full regulation text; Annex I for sectoral scope (steel, cement, aluminium, fertilisers, electricity, hydrogen); definitive regime phase-in from 1 January 2026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azo4exqcdff96hpog7u9l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EU CBAM scope review - chemicals inclusion status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European Commission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CHM-R1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check for amending acts quarterly; consolidated text updates automatically at EUR-Lex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Full regulation text; Annex I for sectoral scope (steel, cement, aluminium, fertilisers, electricity, hydrogen); definitive regime phase-in from 1 January 2026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fcbfzgkz9mrjvgck0jv8t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EU CO2 emission standards for heavy-duty vehicles (Regulation 2024/1610)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Official Journal of the European Union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HDT-R1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quarterly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CO2 reduction targets for trucks &gt;7.5t: -45% (2030), -65% (2035), -90% (2040) vs. 2019 baseline; urban buses -90% (2030), -100% (2035)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wxvvorxbxrkb-ok05xx9z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EU Critical Raw Materials Act - benchmarks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Official Journal of the European Union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MIN-R2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quarterly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Article 5(1) for the 2030 benchmarks (10% extraction / 40% processing / 25% recycling); Chapter III for Strategic Projects; Article 11 for permit-granting: 11(1)(a) 27 months for extraction projects, 11(3) excludes the environmental impact assessment step, 11(4) allows an extension of at most six months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ibo1bian3u4ozepxlxdna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EU Critical Raw Materials Act (Regulation 2024/1252)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Official Journal of the European Union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MIN-R1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quarterly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Article 5(1) for the 2030 benchmarks (10% extraction / 40% processing / 25% recycling); Chapter III for Strategic Projects; Article 11 for permit-granting: 11(1)(a) 27 months for extraction projects, 11(3) excludes the environmental impact assessment step, 11(4) allows an extension of at most six months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9nwsxqymu_nsnyldtgjfm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EU ETS free allocation benchmarks - cement clinker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European Commission DG CLIMA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CEM-R1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annual (benchmark periods run in multi-year blocks; check for new implementing regulation at each period start)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Annex tables give benchmark values (allowances per tonne of product) by sector including steel hot metal, cement clinker, ammonia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z0cgg8m5xmkjb8gtuzghi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EU ETS free allocation benchmarks - chemicals subsectors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European Commission DG CLIMA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CHM-R1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annual (benchmark periods run in multi-year blocks; check for new implementing regulation at each period start)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Annex tables give benchmark values (allowances per tonne of product) by sector including steel hot metal, cement clinker, ammonia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p9qin5xee_i3kjwhtixjz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EU ETS free allocation benchmarks - steel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European Commission DG CLIMA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STL-R1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annual (benchmark periods run in multi-year blocks; check for new implementing regulation at each period start)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Annex tables give benchmark values (allowances per tonne of product) by sector including steel hot metal, cement clinker, ammonia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zkovwhxkqbcpmdtzrlemy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EU ETS Maritime inclusion (Directive 2023/959)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Official Journal of the European Union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SHP-R1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quarterly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Phase-in schedule: 40% of verified emissions (2024), 70% (2025), 100% (2026)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9e2yhadyrggxgpks8hysd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EU FuelEU Maritime Regulation (2023/1805)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Official Journal of the European Union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SHP-R1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quarterly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GHG intensity reduction targets by year, escalating from 2025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xk-h-zmgsfrwmbmgo4bex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EU Methane Regulation (2024/1787)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Official Journal of the European Union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OGU-R1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quarterly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MRV obligations; import standard for non-EU suppliers applies from 2027 (Article 27)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25avrtr7-ecwlhre9ormz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EU ReFuelEU Aviation Regulation (2023/2405)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Official Journal of the European Union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AVI-R1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quarterly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Article 4 and Annex I for SAF blending mandate schedule: 2% (2025) rising to 70% (2050), including sub-mandates for synthetic (e-)fuels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nzm_u94xew55xgaphckic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EU REPowerEU / Fit for 55 targets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European Commission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PWR-R2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quarterly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Article 3(1), as amended by Directive (EU) 2023/2413: binding EU-wide renewable target of at least 42.5% by 2030, endeavour to reach 45%; permitting acceleration in Articles 15c (renewables acceleration areas), 16a and 16b (permit-granting inside and outside those areas), inserted by Directive (EU) 2023/2413</w:t>
            </w:r>
          </w:p>
        </w:tc>
      </w:tr>
    </w:tbl>
    <w:p>
      <w:pPr>
        <w:pStyle w:val="Heading2"/>
        <w:spacing w:after="60" w:before="220"/>
      </w:pPr>
      <w:r>
        <w:rPr>
          <w:rFonts w:ascii="Calibri" w:cs="Calibri" w:eastAsia="Calibri" w:hAnsi="Calibri"/>
          <w:sz w:val="20"/>
          <w:szCs w:val="20"/>
        </w:rPr>
        <w:t xml:space="preserve">Structured API or dashboard (6)</w:t>
      </w:r>
    </w:p>
    <w:p>
      <w:pPr>
        <w:spacing w:after="120" w:before="0"/>
      </w:pPr>
      <w:r>
        <w:rPr>
          <w:rFonts w:ascii="Calibri" w:cs="Calibri" w:eastAsia="Calibri" w:hAnsi="Calibri"/>
          <w:i/>
          <w:iCs/>
          <w:color w:val="5A5A6E"/>
          <w:sz w:val="20"/>
          <w:szCs w:val="20"/>
        </w:rPr>
        <w:t xml:space="preserve">Not automated. Despite the name, most are dashboard front-ends rather than documented REST APIs.</w:t>
      </w:r>
    </w:p>
    <w:tbl>
      <w:tblPr>
        <w:tblW w:type="dxa" w:w="15398"/>
        <w:tblBorders>
          <w:top w:val="single" w:color="C9C9D4" w:sz="2"/>
          <w:left w:val="single" w:color="C9C9D4" w:sz="2"/>
          <w:bottom w:val="single" w:color="C9C9D4" w:sz="2"/>
          <w:right w:val="single" w:color="C9C9D4" w:sz="2"/>
          <w:insideH w:val="single" w:color="DEDEE6" w:sz="2"/>
          <w:insideV w:val="single" w:color="DEDEE6" w:sz="2"/>
        </w:tblBorders>
      </w:tblPr>
      <w:tblGrid>
        <w:gridCol w:w="3600"/>
        <w:gridCol w:w="2600"/>
        <w:gridCol w:w="1900"/>
        <w:gridCol w:w="2100"/>
        <w:gridCol w:w="5198"/>
      </w:tblGrid>
      <w:tr>
        <w:trPr>
          <w:tblHeader/>
        </w:trPr>
        <w:tc>
          <w:tcPr>
            <w:tcW w:type="dxa" w:w="36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Source</w:t>
            </w:r>
          </w:p>
        </w:tc>
        <w:tc>
          <w:tcPr>
            <w:tcW w:type="dxa" w:w="26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Publisher</w:t>
            </w:r>
          </w:p>
        </w:tc>
        <w:tc>
          <w:tcPr>
            <w:tcW w:type="dxa" w:w="19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Criteria</w:t>
            </w:r>
          </w:p>
        </w:tc>
        <w:tc>
          <w:tcPr>
            <w:tcW w:type="dxa" w:w="21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Refresh cadence</w:t>
            </w:r>
          </w:p>
        </w:tc>
        <w:tc>
          <w:tcPr>
            <w:tcW w:type="dxa" w:w="5198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Where to look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0wdkppk4vcuw7r89u_c0z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China national ETS price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Shanghai Environment and Energy Exchange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PWR-R1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continuous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Manual: Dashboard: daily CEA prices are shown on the exchange's website, which returned HTTP 420 to automated requests. Daily CEA closing price; ICAP page gives narrative context on scope and allocation method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r1hnms54jmxz-d2ve8msi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EU ETS carbon price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European Energy Exchange (EEX) / European Commission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PWR-R1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continuous / check at each review cycle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Manual: Dashboard: daily prices are shown in EEX's market-data pages, not a fetchable document. Daily EUA auction and spot price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ptkv-ffguh49ybi39h1wd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NGFS Climate Scenarios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Network for Greening the Financial System (127 central banks and supervisors), hosted by IIASA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CEM-R1, CHM-R1, PWR-R1, STL-R1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new phase roughly every 12-18 months (Phase 5 released Nov 2024; short-term scenarios added May 2025)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Manual: Dashboard: scenario data are downloaded from the NGFS / IIASA scenario portal; ngfs.net returns 403 to automated requests. Downloadable in CSV/XLSX; gives projected carbon prices, policy phase-out dates, and macro-financial impacts under Orderly/Disorderly/Hot House World scenario families — used here to source the carbon price trajectory that the H/M/L threshold in this criterion's rubric is benchmarked against.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viu75oyjn7d_9mdyjwnwp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US National Electric Vehicle Infrastructure / DOE Alternative Fuels Data Center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US Department of Energy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HDT-D1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continuously updated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Manual: Dashboard: station counts come from the AFDC station locator, an interactive tool. Public charging and alternative fuel infrastructure station locator and counts, filterable by vehicle class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pawanpjdjnbagpx5ca58a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USGS Mineral Commodity Summaries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United States Geological Survey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MIN-D1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annual, published January/February; data-only releases also available via data.usgs.gov by commodity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Two-page synopses per mineral commodity; world production, reserves, and US import reliance tables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sjcrz9ldy3rdsxgnhl2zm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World Bank Carbon Pricing Dashboard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World Bank Group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PWR-R1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continuous; annual report each spring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Manual: Dashboard: interactive dashboard, which returns 403 to automated requests; the annual State and Trends of Carbon Pricing report holds the same figures. Interactive dashboard; filter by jurisdiction and instrument type (ETS / carbon tax); underlying annual report is 'State and Trends of Carbon Pricing'</w:t>
            </w:r>
          </w:p>
        </w:tc>
      </w:tr>
    </w:tbl>
    <w:p>
      <w:pPr>
        <w:pStyle w:val="Heading2"/>
        <w:spacing w:after="60" w:before="220"/>
      </w:pPr>
      <w:r>
        <w:rPr>
          <w:rFonts w:ascii="Calibri" w:cs="Calibri" w:eastAsia="Calibri" w:hAnsi="Calibri"/>
          <w:sz w:val="20"/>
          <w:szCs w:val="20"/>
        </w:rPr>
        <w:t xml:space="preserve">Industry tracker / database (11)</w:t>
      </w:r>
    </w:p>
    <w:p>
      <w:pPr>
        <w:spacing w:after="120" w:before="0"/>
      </w:pPr>
      <w:r>
        <w:rPr>
          <w:rFonts w:ascii="Calibri" w:cs="Calibri" w:eastAsia="Calibri" w:hAnsi="Calibri"/>
          <w:i/>
          <w:iCs/>
          <w:color w:val="5A5A6E"/>
          <w:sz w:val="20"/>
          <w:szCs w:val="20"/>
        </w:rPr>
        <w:t xml:space="preserve">Not automated. Mostly subscription or session-gated.</w:t>
      </w:r>
    </w:p>
    <w:tbl>
      <w:tblPr>
        <w:tblW w:type="dxa" w:w="15398"/>
        <w:tblBorders>
          <w:top w:val="single" w:color="C9C9D4" w:sz="2"/>
          <w:left w:val="single" w:color="C9C9D4" w:sz="2"/>
          <w:bottom w:val="single" w:color="C9C9D4" w:sz="2"/>
          <w:right w:val="single" w:color="C9C9D4" w:sz="2"/>
          <w:insideH w:val="single" w:color="DEDEE6" w:sz="2"/>
          <w:insideV w:val="single" w:color="DEDEE6" w:sz="2"/>
        </w:tblBorders>
      </w:tblPr>
      <w:tblGrid>
        <w:gridCol w:w="3600"/>
        <w:gridCol w:w="2600"/>
        <w:gridCol w:w="1900"/>
        <w:gridCol w:w="2100"/>
        <w:gridCol w:w="5198"/>
      </w:tblGrid>
      <w:tr>
        <w:trPr>
          <w:tblHeader/>
        </w:trPr>
        <w:tc>
          <w:tcPr>
            <w:tcW w:type="dxa" w:w="36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Source</w:t>
            </w:r>
          </w:p>
        </w:tc>
        <w:tc>
          <w:tcPr>
            <w:tcW w:type="dxa" w:w="26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Publisher</w:t>
            </w:r>
          </w:p>
        </w:tc>
        <w:tc>
          <w:tcPr>
            <w:tcW w:type="dxa" w:w="19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Criteria</w:t>
            </w:r>
          </w:p>
        </w:tc>
        <w:tc>
          <w:tcPr>
            <w:tcW w:type="dxa" w:w="21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Refresh cadence</w:t>
            </w:r>
          </w:p>
        </w:tc>
        <w:tc>
          <w:tcPr>
            <w:tcW w:type="dxa" w:w="5198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Where to look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wilwip6zrjpamacgrzqzs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China charging infrastructure statistics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China Electric Vehicle Charging Infrastructure Promotion Alliance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HDT-D1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monthly, publisher updates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Manual: evcipa.org.cn returned 503; monthly statistics are posted as news items with no stable document URL. Monthly public charging infrastructure statistics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qe4npnv7ns9xxawjj4jem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Clarksons Research World Fleet Register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Clarksons Research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SHP-T1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continuous (subscription required for full access)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Manual: Subscription: the World Fleet Register needs a paid Clarksons Research account. Subscription database; new-build order book filterable by fuel type and propulsion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badnw8hxniqcut_jq_op8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DNV Alternative Fuels Insight platform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DNV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SHP-T1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continuously updated by publisher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Manual: Dashboard: the order book is read in DNV's interactive web app, not a fetchable document. Free public dashboard tracking alternative-fuel vessel orders and bunkering infrastructure by fuel type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trkhp1xtt-9rbojsmusg4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First Movers Coalition Cement &amp; Concrete commitments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World Economic Forum / US State Department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CEM-D1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annual, updated at major COP/WEF events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Manual: Dashboard: the commitments list is drawn by a script on the page, with no fetchable document. Member company demand commitments by sector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goeiwsvrcau90hzxaqkyv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Getting to Zero Coalition Green Corridors tracker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Global Maritime Forum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SHP-D1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check semi-annually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Annual Progress Report on Green Shipping Corridors 2025 (Global Maritime Forum / Getting to Zero Coalition): announced and active corridor initiatives with participants and maturity stage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yjgqcjin6bdugczh0x1oq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Global CCS Institute CO2RE database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Global CCS Institute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CEM-T1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continuously updated by publisher; check quarterly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Manual: Dashboard: facility data are read in the Global CCS Institute's interactive CO2RE database. Filterable database of CCS/CCUS facilities by status (operational/construction/planned), sector, and region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xh4qr-2d04zw8s1vjfopq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Global Cement and Concrete Association (GCCA) sustainability data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GCCA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CEM-T2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annual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Manual: Dashboard: GNR 2.0 data are read in GCCA's interactive GNR tool. Getting the Numbers Right (GNR) database; clinker ratio and thermal/electrical intensity by region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dytfctqowxb8hmkaybxv1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ICAP ETS factsheet: China National ETS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International Carbon Action Partnership (ICAP)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CEM-R1, PWR-R1, STL-R1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annual, updated with the ICAP Status Report (spring), with news items between editions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Factsheet sections on coverage (power, steel, cement and aluminium smelting after the 2025 expansion), allocation (free, output-based) and prices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zlztjrznun0nvjymda2ep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IEA CCUS Projects Database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International Energy Agency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CEM-T1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continuously updated by publisher; check quarterly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Manual: iea.org returns 403 to automated requests; fetch the page in a browser. Downloadable list of CO2 capture, transport, storage and use projects by status (operational, construction, planned), sector, country and capacity; projects of at least 100 kt CO2 per year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ncnewyoodu4oew_axbr62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Oil and Gas Methane Partnership (OGMP 2.0) reporting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United Nations Environment Programme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OGU-T1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annual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Manual: unep.org returns 403 to automated requests; fetch the report page in a browser. An Eye on Methane 2025 (UNEP IMEO, 22 October 2025): OGMP 2.0 member reporting levels (Gold Standard) and share of global oil and gas production covered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7vw3afszvb5x2e3d_csj6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S&amp;P Global Market Intelligence - Metals &amp; Mining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S&amp;P Global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MIN-T1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continuous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Manual: Subscription: S&amp;P Global Market Intelligence is a paid service. Subscription service; mining equipment and production tracking</w:t>
            </w:r>
          </w:p>
        </w:tc>
      </w:tr>
    </w:tbl>
    <w:p>
      <w:pPr>
        <w:pStyle w:val="Heading2"/>
        <w:spacing w:after="60" w:before="220"/>
      </w:pPr>
      <w:r>
        <w:rPr>
          <w:rFonts w:ascii="Calibri" w:cs="Calibri" w:eastAsia="Calibri" w:hAnsi="Calibri"/>
          <w:sz w:val="20"/>
          <w:szCs w:val="20"/>
        </w:rPr>
        <w:t xml:space="preserve">Periodic PDF report (32)</w:t>
      </w:r>
    </w:p>
    <w:p>
      <w:pPr>
        <w:spacing w:after="120" w:before="0"/>
      </w:pPr>
      <w:r>
        <w:rPr>
          <w:rFonts w:ascii="Calibri" w:cs="Calibri" w:eastAsia="Calibri" w:hAnsi="Calibri"/>
          <w:i/>
          <w:iCs/>
          <w:color w:val="5A5A6E"/>
          <w:sz w:val="20"/>
          <w:szCs w:val="20"/>
        </w:rPr>
        <w:t xml:space="preserve">Not automated. Annual PDFs where the locator field doubles as the extraction instruction.</w:t>
      </w:r>
    </w:p>
    <w:tbl>
      <w:tblPr>
        <w:tblW w:type="dxa" w:w="15398"/>
        <w:tblBorders>
          <w:top w:val="single" w:color="C9C9D4" w:sz="2"/>
          <w:left w:val="single" w:color="C9C9D4" w:sz="2"/>
          <w:bottom w:val="single" w:color="C9C9D4" w:sz="2"/>
          <w:right w:val="single" w:color="C9C9D4" w:sz="2"/>
          <w:insideH w:val="single" w:color="DEDEE6" w:sz="2"/>
          <w:insideV w:val="single" w:color="DEDEE6" w:sz="2"/>
        </w:tblBorders>
      </w:tblPr>
      <w:tblGrid>
        <w:gridCol w:w="3600"/>
        <w:gridCol w:w="2600"/>
        <w:gridCol w:w="1900"/>
        <w:gridCol w:w="2100"/>
        <w:gridCol w:w="5198"/>
      </w:tblGrid>
      <w:tr>
        <w:trPr>
          <w:tblHeader/>
        </w:trPr>
        <w:tc>
          <w:tcPr>
            <w:tcW w:type="dxa" w:w="36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Source</w:t>
            </w:r>
          </w:p>
        </w:tc>
        <w:tc>
          <w:tcPr>
            <w:tcW w:type="dxa" w:w="26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Publisher</w:t>
            </w:r>
          </w:p>
        </w:tc>
        <w:tc>
          <w:tcPr>
            <w:tcW w:type="dxa" w:w="19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Criteria</w:t>
            </w:r>
          </w:p>
        </w:tc>
        <w:tc>
          <w:tcPr>
            <w:tcW w:type="dxa" w:w="21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Refresh cadence</w:t>
            </w:r>
          </w:p>
        </w:tc>
        <w:tc>
          <w:tcPr>
            <w:tcW w:type="dxa" w:w="5198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Where to look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0eyixh2sldpjn23pqh9wc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Berkeley Lab Queued Up: Characteristics of Power Plants Seeking Transmission Interconnection (2026 edition)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Lawrence Berkeley National Laboratory (LBNL)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PWR-R2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annual, slide deck and data file each spring (2026 edition May 2026); the latest edition is always linked from https://emp.lbl.gov/queues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Duration trends, PDF pages 51-52: median time from interconnection request to commercial operation, 61 months for projects completed in 2025, by region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prhhoaga5p8knmu5eiwaf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BloombergNEF Corporate Energy Market Outlook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BloombergNEF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PWR-D1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varies by report series, generally annual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Manual: Subscription: BloombergNEF research needs a paid BloombergNEF subscription. Subscription service; specific report titles vary by year — verify current title via BNEF's published research index at each review cycle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uhlxj-zt2bl-44skdr_hg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BloombergNEF Energy Storage Outlook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BloombergNEF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PWR-T2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varies by report series, generally annual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Manual: Subscription: BloombergNEF research needs a paid BloombergNEF subscription. Subscription service; specific report titles vary by year — verify current title via BNEF's published research index at each review cycle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ewcdjsla9hziabn-ewrh-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BloombergNEF Green Steel Tracker / Premium report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BloombergNEF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STL-D1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varies by report series, generally annual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Manual: Subscription: BloombergNEF research needs a paid BloombergNEF subscription. Subscription service; specific report titles vary by year — verify current title via BNEF's published research index at each review cycle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qwzqdwsdwaqqeasqlubiv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BloombergNEF Hydrogen Levelized Cost Report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BloombergNEF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STL-T1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varies by report series, generally annual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Manual: Subscription: BloombergNEF research needs a paid BloombergNEF subscription. Subscription service; specific report titles vary by year — verify current title via BNEF's published research index at each review cycle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vkbamfawevcbt9shablba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CRS R48906: Inflation Reduction Act Methane Emissions Charge: Overview and Considerations for Policymakers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Congressional Research Service (CRS)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OGU-R1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one-off report (15 April 2026); CRS revises reports as events change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Manual: congress.gov returns 403 to automated requests; fetch the page in a browser. Summary and 'Introduction and Recent Developments': the Congressional Review Act disapproval of EPA's WEC rule (H.J.Res. 35, signed 14 March 2025) and P.L. 119-21's change to the WEC start date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aw46o8hudzaicq8c9kl9l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IATA SAF price tracking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International Air Transport Association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AVI-D1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periodic, check quarterly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Manual: No single document: IATA publishes SAF prices in press releases and economic reports as they come out. IATA SAF programme page; price tracking data typically published via IATA Economics reports and SAF fact sheets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hty5nj48xut1zy-q2dgt4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IATA Sustainable Aviation Fuel Fact Sheet / SAF Tracker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International Air Transport Association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AVI-T1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annual, with interim updates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SAF fact sheet (PDF, June 2026 edition when checked): SAF production tracker table with annual output and share of jet fuel use; cost relative to conventional jet fuel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zompauvbelp06gsfbxlsl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ICCT Total Cost of Ownership analyses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International Council on Clean Transportation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HDT-T1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annual, check for new regional TCO updates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Manual: No single document: ICCT publishes a separate TCO study per region; use the latest for each region. Search publications by 'total cost of ownership' + region; separate reports for EU, US, China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le_f0jzu1o8qo2tymwksm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IEA Aviation tracking report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International Energy Agency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AVI-T1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annual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Manual: iea.org returns 403 to automated requests; fetch the page in a browser. Aviation tracking page: activity, energy demand, emissions and sustainable aviation fuel progress against the Net Zero Scenario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m8a2p_ee6q5nwtlix1-z4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IEA Cement Technology Roadmap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International Energy Agency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CEM-T2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annual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Manual: iea.org returns 403 to automated requests; fetch the page in a browser. IEA Energy System tracking page for cement sector; technology roadmap content integrated into IEA industry tracking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sjc8mfa3zdiuthbngfbsb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IEA Critical Minerals Outlook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International Energy Agency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MIN-T1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annual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Manual: iea.org returns 403 to automated requests; fetch the page in a browser. Sub-pages: /market-review, /outlook-for-key-minerals, /executive-summary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lsxismhuuog5hmvtkaxo5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IEA Critical Minerals Outlook - demand-supply gap tables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International Energy Agency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MIN-D1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annual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Manual: iea.org returns 403 to automated requests; fetch the page in a browser. Sub-pages: /market-review, /outlook-for-key-minerals, /executive-summary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aw4ahuvry6mqhy68mx_ib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IEA Energy Storage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International Energy Agency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PWR-T2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annual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Manual: iea.org returns 403 to automated requests; fetch the page in a browser. IEA Energy System tracking page for grid-scale storage; annual data updates within IEA Electricity report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xhzqijtquz53s0e3ggcsu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IEA Global EV Outlook - heavy-duty vehicles chapter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International Energy Agency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HDT-T1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annual, typically published in spring (May in 2025)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Manual: iea.org returns 403 to automated requests; fetch the page in a browser. Heavy-duty truck sections: electric truck sales by region and total cost of ownership of electric heavy-duty trucks in several markets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htkcgd4kwtrxsqgcasr2u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IEA Global Hydrogen Review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International Energy Agency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CHM-T1, STL-T1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annual, typically published October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Manual: iea.org returns 403 to automated requests; fetch the page in a browser. Sub-pages: /hydrogen-production, /hydrogen-demand, /policies, /trade-and-infrastructure, /investment-finance-and-innovation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fdprkfihi2rxahgpw1rok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IEA Methane Tracker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International Energy Agency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OGU-T1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annual, typically published March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Manual: iea.org returns 403 to automated requests; fetch the page in a browser. /key-findings sub-page; includes IEA Methane Abatement Model (2024) for country/segment abatement cost curves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slb3xv3ih3rwpjpcbg2m9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IEA Renewables market report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International Energy Agency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PWR-R2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annual, typically published October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Manual: iea.org returns 403 to automated requests; fetch the page in a browser. /executive-summary sub-page for VRE integration phase assessment by country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ligduuixw298ldixgvsvh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IEA The Future of Petrochemicals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International Energy Agency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CHM-T1, CHM-T2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one-off report (October 2018)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Manual: iea.org returns 403 to automated requests; fetch the page in a browser. 2018 report on primary chemicals: production routes, feedstock and energy use by region, and the Clean Technology Scenario's technology options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fbaus0qktxngnahu9dbjh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IEA World Energy Investment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International Energy Agency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PWR-T1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annual, typically published June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Manual: iea.org returns 403 to automated requests; fetch the page in a browser. Annual global and regional energy investment tracking by technology and sector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903uflf7nninx1fs0boyr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IEA World Energy Outlook - regional demand scenarios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International Energy Agency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OGU-D1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annual, typically published October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Manual: iea.org returns 403 to automated requests; fetch the page in a browser. Regional demand projections under STEPS, APS, and NZE scenarios, by fuel and sector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a5pltwzfcohr1nbcxwhh5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IEEFA: China's emissions trading system (ETS) reforms: On track, but needs robust enforcement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Institute for Energy Economics and Financial Analysis (IEEFA)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CEM-R1, STL-R1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one-off report (3 November 2025)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Manual: ieefa.org report pages return 403 to automated requests; fetch the page in a browser. Analysis of the national ETS after the 2025 sector expansion: free allocation, the expected move to absolute caps by 2027, and auctions and a fixed cap reduction rate as missing enforcement tools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9mlbqmxqi1moiohn2y8rx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IRENA Renewable Power Generation Costs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International Renewable Energy Agency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PWR-T1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annual, typically published September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Executive summary PDF gives headline LCOE figures by technology and region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mtggvsoudksd-l004thuq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Lazard Levelized Cost of Energy Analysis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Lazard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PWR-T1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annual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Unsubsidized LCOE ranges by technology, US-focused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tfgonnxz1bauko-ycjeki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MEE Progress Report of China's National Carbon Market (2025)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Ministry of Ecology and Environment of the People's Republic of China (MEE)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PWR-R1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annual, released at the China Carbon Market Conference in September (the 2026 edition followed in September 2026)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Chapter 4 (market vibrancy of the national ETS), part (2) 'Trading prices reflected supply and demand interaction', PDF page 24: the 2024 composite closing price ranged from 69 to 106 yuan/tonne, year-end 97.49 yuan/tonne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yzazamzq7uuvnvuznbd8b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Mission Possible Partnership Steel sector tracker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Mission Possible Partnership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STL-D1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annual, but publication timing is less regular than IEA/IRENA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Manual: Dashboard: the project list is read in MPP's interactive tracker, not a fetchable document. MPP Global Project Tracker: announced, FID and operational near-zero steel plants, updated quarterly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kaig9atzr4z9ilq3wwa4b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Mission Possible Partnership Steel Transition Strategy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Mission Possible Partnership / Energy Transitions Commission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STL-T1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annual, but publication timing is less regular than IEA/IRENA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Making Net-Zero Steel Possible (MPP steel transition strategy, September 2022): technology cost comparison of hydrogen DRI-EAF against BF-BOF and the hydrogen cost assumptions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e0uz_4x1_jbwlbqypyzge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Mission Possible: Reaching Net-Zero Carbon Emissions from Harder-to-Abate Sectors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Energy Transitions Commission (ETC)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AVI-T1, CEM-T1, CHM-T1, SHP-T1, STL-T1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irregular — ETC publishes updates and sector-specific follow-ons rather than a fixed annual cycle; check publications page each review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Sector-specific technical abatement pathways for cement, steel, plastics, aviation, shipping, trucking; distinguishes proven-technology sectors from those needing further technology investment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n2-4mhqey3hkyiv3r7mq1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OECD Steel Market Developments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OECD Steel Committee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STL-T2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semi-annual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Manual: oecd.org returns 403 to automated requests; the semi-annual report is listed on this topic page. Semi-annual OECD Steel Committee market monitoring report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7cejssi87m_qwgvr35p_h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RE100 Annual Report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Climate Group / CDP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PWR-D1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annual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2024 RE100 annual disclosure report (May 2025): section 4.1 procurement type mix, including recognised PPA volumes by company and market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sgxtfjmdvsmw4vjvx2opd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Transition Asia: Steel Enters China's National Emissions Trading Scheme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Transition Asia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STL-R1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one-off brief (March 2025)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Page 2: the carbon price for a zero green-steel premium at current green hydrogen prices is 890 yuan/t CO2 (about USD 124), 220 yuan/t at China's 2030 hydrogen target of USD 2.4/kg; the evidence text dates this brief September 2025, but the figure is in this March 2025 brief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0novmu-xxoolajhq9yvly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World Steel Association Steel Statistical Yearbook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World Steel Association (worldsteel)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STL-T2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annual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World Steel in Figures 2026 (worldsteel's free summary of the yearbook data, finalised 8 June 2026): crude steel production by process (EAF share) by country and ferrous scrap trade; scrap consumption is not in the free booklet</w:t>
            </w:r>
          </w:p>
        </w:tc>
      </w:tr>
    </w:tbl>
    <w:p>
      <w:pPr>
        <w:pStyle w:val="Heading2"/>
        <w:spacing w:after="60" w:before="220"/>
      </w:pPr>
      <w:r>
        <w:rPr>
          <w:rFonts w:ascii="Calibri" w:cs="Calibri" w:eastAsia="Calibri" w:hAnsi="Calibri"/>
          <w:sz w:val="20"/>
          <w:szCs w:val="20"/>
        </w:rPr>
        <w:t xml:space="preserve">Government agency publication (23)</w:t>
      </w:r>
    </w:p>
    <w:p>
      <w:pPr>
        <w:spacing w:after="120" w:before="0"/>
      </w:pPr>
      <w:r>
        <w:rPr>
          <w:rFonts w:ascii="Calibri" w:cs="Calibri" w:eastAsia="Calibri" w:hAnsi="Calibri"/>
          <w:i/>
          <w:iCs/>
          <w:color w:val="5A5A6E"/>
          <w:sz w:val="20"/>
          <w:szCs w:val="20"/>
        </w:rPr>
        <w:t xml:space="preserve">Not automated. The weakest single-source reliability, especially for non-English sources.</w:t>
      </w:r>
    </w:p>
    <w:tbl>
      <w:tblPr>
        <w:tblW w:type="dxa" w:w="15398"/>
        <w:tblBorders>
          <w:top w:val="single" w:color="C9C9D4" w:sz="2"/>
          <w:left w:val="single" w:color="C9C9D4" w:sz="2"/>
          <w:bottom w:val="single" w:color="C9C9D4" w:sz="2"/>
          <w:right w:val="single" w:color="C9C9D4" w:sz="2"/>
          <w:insideH w:val="single" w:color="DEDEE6" w:sz="2"/>
          <w:insideV w:val="single" w:color="DEDEE6" w:sz="2"/>
        </w:tblBorders>
      </w:tblPr>
      <w:tblGrid>
        <w:gridCol w:w="3600"/>
        <w:gridCol w:w="2600"/>
        <w:gridCol w:w="1900"/>
        <w:gridCol w:w="2100"/>
        <w:gridCol w:w="5198"/>
      </w:tblGrid>
      <w:tr>
        <w:trPr>
          <w:tblHeader/>
        </w:trPr>
        <w:tc>
          <w:tcPr>
            <w:tcW w:type="dxa" w:w="36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Source</w:t>
            </w:r>
          </w:p>
        </w:tc>
        <w:tc>
          <w:tcPr>
            <w:tcW w:type="dxa" w:w="26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Publisher</w:t>
            </w:r>
          </w:p>
        </w:tc>
        <w:tc>
          <w:tcPr>
            <w:tcW w:type="dxa" w:w="19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Criteria</w:t>
            </w:r>
          </w:p>
        </w:tc>
        <w:tc>
          <w:tcPr>
            <w:tcW w:type="dxa" w:w="21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Refresh cadence</w:t>
            </w:r>
          </w:p>
        </w:tc>
        <w:tc>
          <w:tcPr>
            <w:tcW w:type="dxa" w:w="5198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Where to look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sccrkjrf1gjmbmu61n_7u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California Advanced Clean Fleets / Advanced Clean Trucks regulation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California Air Resources Board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HDT-R1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monitor closely given ongoing litigation/waiver status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ZEV sales percentage requirements and fleet purchase mandates by year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ll2egnm_aasltb0wa3nsl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China industrial decarbonisation funding programmes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National Development and Reform Commission (China)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CEM-R2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quarterly given active expansion phase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Manual: No single document: NDRC funding runs through several programmes, and no rating has yet been checked against one. NDRC central-budget investment programmes for industrial energy saving and carbon reduction; no single programme document identified yet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zhlxddydwja04mo4bax-y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China methane control action plan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Ministry of Ecology and Environment (China)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OGU-R1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annual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甲烷排放控制行动方案 (MEE and 10 other departments, November 2023): oil and gas tasks 4-6 (venting control, leak detection and repair, reducing routine flaring) and the aim of zero routine flaring in onshore oil and gas production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0xcbs4ysaaucjm88vsltf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China Ministry of Natural Resources mining approval process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Ministry of Natural Resources (China)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MIN-R1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annual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Manual: mnr.gov.cn did not respond to requests from outside China, and approval procedures are spread over several MNR notices in Chinese, with no single document. Official ministry site; mining licence and approval procedures published in Chinese only — requires translation for non-Chinese-speaking researchers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okmwqwzpgdvvn87n8ksyq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China national ETS sector coverage roadmap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Ministry of Ecology and Environment (China)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CEM-R1, STL-R1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quarterly given active expansion phase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MEE allocation plan for steel, cement and aluminium smelting, 2024 and 2025 (issued 18 November 2025), section 三 (配额计算方法): 2024 allowances equal verified 2024 emissions; 2025 allowances by sector emission-intensity balance values. The 2024-2026 start-up stage and the deepening stage from 2027 are in the MEE work plan of 26 March 2025 (mee.gov.cn W020250326367625819894.pdf).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6co24ad-pxsatrhzqzemo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China NEA renewable targets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National Energy Administration (China)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PWR-R2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quarterly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14th Five-Year Plan for Renewable Energy (NDRC, NEA and seven other bodies, 2021, published June 2022): 2025 targets (专栏 1) and the goal of more than 1,200 GW wind plus solar by 2030; NEA's annual and quarterly capacity statistics are released as separate news items on nea.gov.cn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abrsaj9mjn-08wuafmt7-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China NEV mandate - commercial vehicles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Ministry of Industry and Information Technology (China)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HDT-R1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annual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MIIT decision amending the dual-credit measures (乘用车企业平均燃料消耗量与新能源汽车积分并行管理办法), in force 1 January 2021: NEV credit ratios by year. The measures cover passenger cars (乘用车) only; no commercial-vehicle NEV credit requirement is in this text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whsh91hpay6_oodaxfoyu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EU Green Public Procurement - construction criteria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European Commission DG ENV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CEM-D1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annual, criteria updated periodically per sector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EU GPP criteria for office building design, construction and management (SWD(2016) 180): voluntary criteria, incl. life-cycle assessment (criterion 10.1) and declared embodied CO2 of the main building elements (criterion 8.2); other sector criteria on the GPP criteria page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rfvdvg1nazr5xpxaf-hmv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EU Green Public Procurement criteria - construction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European Commission DG ENV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STL-R2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annual, criteria updated periodically per sector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EU GPP criteria for office building design, construction and management (SWD(2016) 180): voluntary criteria, incl. life-cycle assessment (criterion 10.1) and declared embodied CO2 of the main building elements (criterion 8.2); other sector criteria on the GPP criteria page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ycrugdtszuqjzqg-4zerh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EU Innovation Fund award decisions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European Climate, Infrastructure and Environment Executive Agency (CINEA)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CEM-R2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per call round (roughly annual)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Manual: Dashboard: awarded projects are listed in CINEA's interactive project portfolio dashboard. Award decisions by call round, searchable by sector and project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cqmgcgjn2pawuxlwbeynx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ICAO CORSIA scheme status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International Civil Aviation Organization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AVI-R1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annual, check ahead of each phase transition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Manual: icao.int returns 403 to automated requests; the CORSIA State pairs document is reissued each year. State participation list (voluntary pilot phase 2021-2026, first obligatory phase from 2027); China participation status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xryzumbjotgbwszixhzxi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IMO GHG Strategy implementation tracker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International Maritime Organization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CHM-D1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check ahead of each MEPC session (roughly biannual) for mid-term measures progress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Adopted resolution MEPC.377(80); checkpoints for 2030 (20-30% reduction) and 2040 (70-80% reduction) vs. 2008; net-zero 'by or around' 2050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urahweyag4rmdkr9ympv_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IMO Revised GHG Strategy and mid-term measures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International Maritime Organization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SHP-R1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check ahead of each MEPC session (roughly biannual) for mid-term measures progress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Adopted resolution MEPC.377(80); checkpoints for 2030 (20-30% reduction) and 2040 (70-80% reduction) vs. 2008; net-zero 'by or around' 2050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w6tc5jysmmsvzqowdsqge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MOFCOM announcements on export controls of critical-mineral items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Ministry of Commerce of the People's Republic of China (MOFCOM), with the General Administration of Customs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MIN-R2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irregular, announcements are issued as decided; MOFCOM keeps one announcement list per year (/zcfb/blgg/gg/&lt;year&gt;/index.html)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2025 announcement list (in Chinese): MOFCOM/GAC No. 10 (tungsten, tellurium, bismuth, molybdenum, indium) and No. 18 (medium and heavy rare earths); MOFCOM/GAC Nos. 55 to 58 and MOFCOM Nos. 61 and 62 (October 2025) were suspended by MOFCOM/GAC No. 70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-hlrfv_aphjllttha5adk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National/state building codes register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Various national standards bodies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STL-R2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annual, varies significantly by jurisdiction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Manual: No single register: building codes and their embodied-carbon rules vary by jurisdiction. No single global register — International Code Council (US) as a starting reference point; verify per-jurisdiction embodied carbon requirements via national standards bodies named in the criteria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ll9nyiohvc_oj8a0ziapn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US DOE Industrial Demonstrations Program awards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US Department of Energy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CEM-R2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monitor closely for continuity under current administration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Awarded projects list by sector including cement, steel, chemicals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uaxpoywbflvzoxnbu9y19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US EPA Heavy-Duty Phase 3 GHG standards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US Environmental Protection Agency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HDT-R1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monitor closely given litigation risk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Final rule, 89 FR 29440 (22 April 2024): CO2 standards for heavy-duty vehicles, model years 2027-2032. Repealed with all vehicle GHG standards by 91 FR 7686 (18 February 2026, effective 20 April 2026, FR doc 2026-03157)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cocjne2gdkejdse6qlqat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US EPA Methane Emissions Reduction Program / Waste Emissions Charge (IRA)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US Environmental Protection Agency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OGU-R1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monitor closely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EPA notice (90 FR 21225, 19 May 2025) removing the 2024 WEC implementing rule after the Congressional Review Act joint resolution (H.J.Res.35, P.L. 119-2, signed 14 March 2025) nullified it. The charge itself is delayed by P.L. 119-21 section 60012(b), which replaces 'calendar year 2024' with 'calendar year 2034' in Clean Air Act section 136(g); the underlying statutory obligation remains.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vfuhxb3x26s77mut-9uij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US Federal Buy Clean Initiative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US General Services Administration / EPA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STL-R2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annual, monitor for continuity under current administration priorities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Biden-era progress report on the Federal Buy Clean Initiative (low-embodied-carbon material purchases by GSA, FHWA and EPA); EO 14057, which set up Buy Clean, was rescinded in January 2025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ci-syco6h36u_m6lfbmxw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US Fixing America's Surface Transportation Act / permitting reform tracker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US Department of Interior / Congressional Research Service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MIN-R1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monitor closely given active legislative attention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Manual: congress.gov returns 403 to automated requests, and the tracker spans several bills and the Permitting Council dashboard. Track federal permitting reform legislation via Congress.gov; also monitor Federal Permitting Improvement Steering Council dashboard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u86nbwjsj_7qd9ot1q93d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US Inflation Reduction Act Section 30D critical minerals requirements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US Internal Revenue Service / US Treasury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MIN-R2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monitor closely — credit status changed materially in 2025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Critical minerals sourcing thresholds under Section 30D(e); FEOC exclusion rules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iutw5irurvlplglvrv-ag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US SAF Grand Challenge / IRA 40B tax credit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US Department of Energy / US Treasury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AVI-R1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annual, monitor for continuity under current administration priorities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SAF Grand Challenge Roadmap (DOE, September 2022): the goals of 3 billion gallons of SAF per year by 2030 and 35 billion by 2050, a volume goal rather than a blending mandate. The IRA section 40B SAF credit is Treasury/IRS guidance and is not in this document.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ymwjnfu9pftzd2naexqlw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US Treasury/IRS Section 45V final regulations (TD 10023)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US Department of the Treasury, Internal Revenue Service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CHM-T1, STL-T1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one-off final rule (90 FR 2224, 10 January 2025); later changes to the credit come by statute or a new rulemaking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§ 1.45V-1(b) amount of credit; § 1.45V-4 lifecycle GHG emissions rate (45VH2-GREET), with § 1.45V-4(d) (from 90 FR 2316) on energy attribute certificates: incrementality, temporal matching, deliverability</w:t>
            </w:r>
          </w:p>
        </w:tc>
      </w:tr>
    </w:tbl>
    <w:p>
      <w:pPr>
        <w:pStyle w:val="Heading2"/>
        <w:spacing w:after="60" w:before="220"/>
      </w:pPr>
      <w:r>
        <w:rPr>
          <w:rFonts w:ascii="Calibri" w:cs="Calibri" w:eastAsia="Calibri" w:hAnsi="Calibri"/>
          <w:sz w:val="20"/>
          <w:szCs w:val="20"/>
        </w:rPr>
        <w:t xml:space="preserve">Company disclosure (7)</w:t>
      </w:r>
    </w:p>
    <w:p>
      <w:pPr>
        <w:spacing w:after="120" w:before="0"/>
      </w:pPr>
      <w:r>
        <w:rPr>
          <w:rFonts w:ascii="Calibri" w:cs="Calibri" w:eastAsia="Calibri" w:hAnsi="Calibri"/>
          <w:i/>
          <w:iCs/>
          <w:color w:val="5A5A6E"/>
          <w:sz w:val="20"/>
          <w:szCs w:val="20"/>
        </w:rPr>
        <w:t xml:space="preserve">Deliberately never auto-extracted — discovery and triage only. These are the 7 sources with no fixed URL, since which company matters depends on who is being assessed.</w:t>
      </w:r>
    </w:p>
    <w:tbl>
      <w:tblPr>
        <w:tblW w:type="dxa" w:w="15398"/>
        <w:tblBorders>
          <w:top w:val="single" w:color="C9C9D4" w:sz="2"/>
          <w:left w:val="single" w:color="C9C9D4" w:sz="2"/>
          <w:bottom w:val="single" w:color="C9C9D4" w:sz="2"/>
          <w:right w:val="single" w:color="C9C9D4" w:sz="2"/>
          <w:insideH w:val="single" w:color="DEDEE6" w:sz="2"/>
          <w:insideV w:val="single" w:color="DEDEE6" w:sz="2"/>
        </w:tblBorders>
      </w:tblPr>
      <w:tblGrid>
        <w:gridCol w:w="3600"/>
        <w:gridCol w:w="2600"/>
        <w:gridCol w:w="1900"/>
        <w:gridCol w:w="2100"/>
        <w:gridCol w:w="5198"/>
      </w:tblGrid>
      <w:tr>
        <w:trPr>
          <w:tblHeader/>
        </w:trPr>
        <w:tc>
          <w:tcPr>
            <w:tcW w:type="dxa" w:w="36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Source</w:t>
            </w:r>
          </w:p>
        </w:tc>
        <w:tc>
          <w:tcPr>
            <w:tcW w:type="dxa" w:w="26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Publisher</w:t>
            </w:r>
          </w:p>
        </w:tc>
        <w:tc>
          <w:tcPr>
            <w:tcW w:type="dxa" w:w="19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Criteria</w:t>
            </w:r>
          </w:p>
        </w:tc>
        <w:tc>
          <w:tcPr>
            <w:tcW w:type="dxa" w:w="21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Refresh cadence</w:t>
            </w:r>
          </w:p>
        </w:tc>
        <w:tc>
          <w:tcPr>
            <w:tcW w:type="dxa" w:w="5198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Where to look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Company disclosures</w:t>
            </w:r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Airlines and SAF producers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AVI-D1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per company reporting cycle (typically annual, some quarterly)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Manual: Company disclosure: no single URL; which companies matter depends on who is assessed. No single URL — retrieve from the specific company's investor relations page (annual report, capital markets day materials, or sustainability report). Identify relevant companies via sector leaders named in Mission Possible Partnership / BloombergNEF sector trackers, then search each company's IR site directly. This is the source type flagged in the Automation Pipeline Design Document (Section 5.6) as requiring discovery-and-triage rather than single-URL retrieval.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Company disclosures</w:t>
            </w:r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e.g. Maersk, cargo owner coalitions (coZEV)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SHP-D1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per company reporting cycle (typically annual, some quarterly)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Manual: Company disclosure: no single URL; which companies matter depends on who is assessed. No single URL — retrieve from the specific company's investor relations page (annual report, capital markets day materials, or sustainability report). Identify relevant companies via sector leaders named in Mission Possible Partnership / BloombergNEF sector trackers, then search each company's IR site directly. This is the source type flagged in the Automation Pipeline Design Document (Section 5.6) as requiring discovery-and-triage rather than single-URL retrieval.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Company investor disclosures</w:t>
            </w:r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Individual cement producers (e.g. Heidelberg Materials, Holcim)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CEM-D1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per company reporting cycle (typically annual, some quarterly)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Manual: Company disclosure: no single URL; which companies matter depends on who is assessed. No single URL — retrieve from the specific company's investor relations page (annual report, capital markets day materials, or sustainability report). Identify relevant companies via sector leaders named in Mission Possible Partnership / BloombergNEF sector trackers, then search each company's IR site directly. This is the source type flagged in the Automation Pipeline Design Document (Section 5.6) as requiring discovery-and-triage rather than single-URL retrieval.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Company investor disclosures</w:t>
            </w:r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Individual miners (e.g. Freeport-McMoRan, Albemarle)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MIN-D1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per company reporting cycle (typically annual, some quarterly)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Manual: Company disclosure: no single URL; which companies matter depends on who is assessed. No single URL — retrieve from the specific company's investor relations page (annual report, capital markets day materials, or sustainability report). Identify relevant companies via sector leaders named in Mission Possible Partnership / BloombergNEF sector trackers, then search each company's IR site directly. This is the source type flagged in the Automation Pipeline Design Document (Section 5.6) as requiring discovery-and-triage rather than single-URL retrieval.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Company investor disclosures</w:t>
            </w:r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Individual steelmakers (annual reports, capital markets days)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STL-D1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per company reporting cycle (typically annual, some quarterly)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Manual: Company disclosure: no single URL; which companies matter depends on who is assessed. No single URL — retrieve from the specific company's investor relations page (annual report, capital markets day materials, or sustainability report). Identify relevant companies via sector leaders named in Mission Possible Partnership / BloombergNEF sector trackers, then search each company's IR site directly. This is the source type flagged in the Automation Pipeline Design Document (Section 5.6) as requiring discovery-and-triage rather than single-URL retrieval.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Company investor disclosures</w:t>
            </w:r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e.g. Maersk, Yara, OCI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CHM-D1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per company reporting cycle (typically annual, some quarterly)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Manual: Company disclosure: no single URL; which companies matter depends on who is assessed. No single URL — retrieve from the specific company's investor relations page (annual report, capital markets day materials, or sustainability report). Identify relevant companies via sector leaders named in Mission Possible Partnership / BloombergNEF sector trackers, then search each company's IR site directly. This is the source type flagged in the Automation Pipeline Design Document (Section 5.6) as requiring discovery-and-triage rather than single-URL retrieval.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Company/consortium technical disclosures</w:t>
            </w:r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e.g. BASF/SABIC/Linde electric cracker pilot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CHM-T2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per company reporting cycle (typically annual, some quarterly)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Manual: Company disclosure: no single URL; which companies matter depends on who is assessed. No single URL — retrieve from the specific company's investor relations page (annual report, capital markets day materials, or sustainability report). Identify relevant companies via sector leaders named in Mission Possible Partnership / BloombergNEF sector trackers, then search each company's IR site directly. This is the source type flagged in the Automation Pipeline Design Document (Section 5.6) as requiring discovery-and-triage rather than single-URL retrieval.</w:t>
            </w:r>
          </w:p>
        </w:tc>
      </w:tr>
    </w:tbl>
    <w:p>
      <w:r>
        <w:br w:type="page"/>
      </w:r>
    </w:p>
    <w:p>
      <w:pPr>
        <w:pStyle w:val="Heading1"/>
        <w:spacing w:after="160" w:before="0"/>
      </w:pPr>
      <w:r>
        <w:rPr>
          <w:rFonts w:ascii="Calibri" w:cs="Calibri" w:eastAsia="Calibri" w:hAnsi="Calibri"/>
          <w:sz w:val="20"/>
          <w:szCs w:val="20"/>
        </w:rPr>
        <w:t xml:space="preserve">Known data issues</w:t>
      </w:r>
    </w:p>
    <w:p>
      <w:pPr>
        <w:spacing w:after="160" w:before="0"/>
      </w:pPr>
      <w:r>
        <w:rPr>
          <w:rFonts w:ascii="Calibri" w:cs="Calibri" w:eastAsia="Calibri" w:hAnsi="Calibri"/>
          <w:sz w:val="20"/>
          <w:szCs w:val="20"/>
        </w:rPr>
        <w:t xml:space="preserve">Recorded rather than silently patched, so a reader can judge what still needs a human.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•  </w:t>
      </w:r>
      <w:r>
        <w:rPr>
          <w:rFonts w:ascii="Calibri" w:cs="Calibri" w:eastAsia="Calibri" w:hAnsi="Calibri"/>
          <w:sz w:val="20"/>
          <w:szCs w:val="20"/>
        </w:rPr>
        <w:t xml:space="preserve">108 criterion-source links dedupe to 94 registry entries. The registry keeps per-criterion duplicates for company disclosures rather than sharing one key.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•  </w:t>
      </w:r>
      <w:r>
        <w:rPr>
          <w:rFonts w:ascii="Calibri" w:cs="Calibri" w:eastAsia="Calibri" w:hAnsi="Calibri"/>
          <w:sz w:val="20"/>
          <w:szCs w:val="20"/>
        </w:rPr>
        <w:t xml:space="preserve">Source count corrected from 7 to 6 for structured_api_or_dashboard. The original notes claimed 7 and named an LSE_Grantham_CCLW entry that does not exist in the registry.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•  </w:t>
      </w:r>
      <w:r>
        <w:rPr>
          <w:rFonts w:ascii="Calibri" w:cs="Calibri" w:eastAsia="Calibri" w:hAnsi="Calibri"/>
          <w:sz w:val="20"/>
          <w:szCs w:val="20"/>
        </w:rPr>
        <w:t xml:space="preserve">Criterion codes normalised to hyphens. Shipping originally used underscores (SHP_T1); all 35 now match the same pattern, pinned by a schema constraint and a test.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•  </w:t>
      </w:r>
      <w:r>
        <w:rPr>
          <w:rFonts w:ascii="Calibri" w:cs="Calibri" w:eastAsia="Calibri" w:hAnsi="Calibri"/>
          <w:sz w:val="20"/>
          <w:szCs w:val="20"/>
        </w:rPr>
        <w:t xml:space="preserve">7 of 108 source entries carry no URL. These are the company_disclosure entries, which correctly record a retrieval methodology instead.</w:t>
      </w:r>
    </w:p>
    <w:sectPr>
      <w:pgSz w:w="11906" w:h="16838" w:orient="landscape"/>
      <w:pgMar w:top="720" w:right="720" w:bottom="72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40" w:before="240"/>
    </w:pPr>
    <w:rPr>
      <w:rFonts w:ascii="Calibri" w:cs="Calibri" w:eastAsia="Calibri" w:hAnsi="Calibri"/>
      <w:b/>
      <w:bCs/>
      <w:color w:val="3B2F8C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00"/>
    </w:pPr>
    <w:rPr>
      <w:rFonts w:ascii="Calibri" w:cs="Calibri" w:eastAsia="Calibri" w:hAnsi="Calibri"/>
      <w:b/>
      <w:bCs/>
      <w:color w:val="2B2B3A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qecwjezwhbiqisaz3zamp" Type="http://schemas.openxmlformats.org/officeDocument/2006/relationships/hyperlink" Target="https://eur-lex.europa.eu/eli/reg/2023/1804/2026-01-08/eng" TargetMode="External"/><Relationship Id="rIdcenepmyozndlcji3srpdu" Type="http://schemas.openxmlformats.org/officeDocument/2006/relationships/hyperlink" Target="https://eur-lex.europa.eu/eli/reg/2023/956/oj/eng" TargetMode="External"/><Relationship Id="rIdloyipsdwokbqaenmym1n0" Type="http://schemas.openxmlformats.org/officeDocument/2006/relationships/hyperlink" Target="https://eur-lex.europa.eu/eli/reg/2023/956/oj/eng" TargetMode="External"/><Relationship Id="rIdazo4exqcdff96hpog7u9l" Type="http://schemas.openxmlformats.org/officeDocument/2006/relationships/hyperlink" Target="https://eur-lex.europa.eu/eli/reg/2023/956/oj/eng" TargetMode="External"/><Relationship Id="rIdfcbfzgkz9mrjvgck0jv8t" Type="http://schemas.openxmlformats.org/officeDocument/2006/relationships/hyperlink" Target="https://eur-lex.europa.eu/eli/reg/2024/1610/oj" TargetMode="External"/><Relationship Id="rIdwxvvorxbxrkb-ok05xx9z" Type="http://schemas.openxmlformats.org/officeDocument/2006/relationships/hyperlink" Target="https://eur-lex.europa.eu/eli/reg/2024/1252/2024-05-03/eng" TargetMode="External"/><Relationship Id="rIdibo1bian3u4ozepxlxdna" Type="http://schemas.openxmlformats.org/officeDocument/2006/relationships/hyperlink" Target="https://eur-lex.europa.eu/eli/reg/2024/1252/2024-05-03/eng" TargetMode="External"/><Relationship Id="rId9nwsxqymu_nsnyldtgjfm" Type="http://schemas.openxmlformats.org/officeDocument/2006/relationships/hyperlink" Target="https://eur-lex.europa.eu/eli/reg_impl/2021/447/2026-03-18/eng" TargetMode="External"/><Relationship Id="rIdz0cgg8m5xmkjb8gtuzghi" Type="http://schemas.openxmlformats.org/officeDocument/2006/relationships/hyperlink" Target="https://eur-lex.europa.eu/eli/reg_impl/2021/447/2026-03-18/eng" TargetMode="External"/><Relationship Id="rIdp9qin5xee_i3kjwhtixjz" Type="http://schemas.openxmlformats.org/officeDocument/2006/relationships/hyperlink" Target="https://eur-lex.europa.eu/eli/reg_impl/2021/447/2026-03-18/eng" TargetMode="External"/><Relationship Id="rIdzkovwhxkqbcpmdtzrlemy" Type="http://schemas.openxmlformats.org/officeDocument/2006/relationships/hyperlink" Target="https://eur-lex.europa.eu/eli/dir/2023/959/oj" TargetMode="External"/><Relationship Id="rId9e2yhadyrggxgpks8hysd" Type="http://schemas.openxmlformats.org/officeDocument/2006/relationships/hyperlink" Target="https://eur-lex.europa.eu/eli/reg/2023/1805/oj/eng" TargetMode="External"/><Relationship Id="rIdxk-h-zmgsfrwmbmgo4bex" Type="http://schemas.openxmlformats.org/officeDocument/2006/relationships/hyperlink" Target="https://eur-lex.europa.eu/eli/reg/2024/1787/oj/eng" TargetMode="External"/><Relationship Id="rId25avrtr7-ecwlhre9ormz" Type="http://schemas.openxmlformats.org/officeDocument/2006/relationships/hyperlink" Target="https://eur-lex.europa.eu/eli/reg/2023/2405/oj" TargetMode="External"/><Relationship Id="rIdnzm_u94xew55xgaphckic" Type="http://schemas.openxmlformats.org/officeDocument/2006/relationships/hyperlink" Target="https://eur-lex.europa.eu/eli/dir/2018/2001/oj/eng" TargetMode="External"/><Relationship Id="rId0wdkppk4vcuw7r89u_c0z" Type="http://schemas.openxmlformats.org/officeDocument/2006/relationships/hyperlink" Target="https://www.cneeex.com/" TargetMode="External"/><Relationship Id="rIdr1hnms54jmxz-d2ve8msi" Type="http://schemas.openxmlformats.org/officeDocument/2006/relationships/hyperlink" Target="https://www.eex.com/en/market-data/environmental-markets/spot-market" TargetMode="External"/><Relationship Id="rIdptkv-ffguh49ybi39h1wd" Type="http://schemas.openxmlformats.org/officeDocument/2006/relationships/hyperlink" Target="https://www.ngfs.net/ngfs-scenarios-portal/data-resources/" TargetMode="External"/><Relationship Id="rIdviu75oyjn7d_9mdyjwnwp" Type="http://schemas.openxmlformats.org/officeDocument/2006/relationships/hyperlink" Target="https://afdc.energy.gov/" TargetMode="External"/><Relationship Id="rIdpawanpjdjnbagpx5ca58a" Type="http://schemas.openxmlformats.org/officeDocument/2006/relationships/hyperlink" Target="https://pubs.usgs.gov/periodicals/mcs2025/mcs2025.pdf" TargetMode="External"/><Relationship Id="rIdsjcrz9ldy3rdsxgnhl2zm" Type="http://schemas.openxmlformats.org/officeDocument/2006/relationships/hyperlink" Target="https://carbonpricingdashboard.worldbank.org/" TargetMode="External"/><Relationship Id="rIdwilwip6zrjpamacgrzqzs" Type="http://schemas.openxmlformats.org/officeDocument/2006/relationships/hyperlink" Target="http://www.evcipa.org.cn/" TargetMode="External"/><Relationship Id="rIdqe4npnv7ns9xxawjj4jem" Type="http://schemas.openxmlformats.org/officeDocument/2006/relationships/hyperlink" Target="https://www.clarksons.net/wfr/" TargetMode="External"/><Relationship Id="rIdbadnw8hxniqcut_jq_op8" Type="http://schemas.openxmlformats.org/officeDocument/2006/relationships/hyperlink" Target="https://afi.dnv.com/" TargetMode="External"/><Relationship Id="rIdtrkhp1xtt-9rbojsmusg4" Type="http://schemas.openxmlformats.org/officeDocument/2006/relationships/hyperlink" Target="https://initiatives.weforum.org/first-movers-coalition/commitments" TargetMode="External"/><Relationship Id="rIdgoeiwsvrcau90hzxaqkyv" Type="http://schemas.openxmlformats.org/officeDocument/2006/relationships/hyperlink" Target="https://assets.ctfassets.net/gk3lrimlph5v/7zsVf5G9wzNPhEjFPjCrFC/f2918a81c76b734952c6ed4024ef42d9/Annual_progress_report_on_green_shipping_corridors_2025.pdf" TargetMode="External"/><Relationship Id="rIdyjgqcjin6bdugczh0x1oq" Type="http://schemas.openxmlformats.org/officeDocument/2006/relationships/hyperlink" Target="https://co2re.co/FacilityData" TargetMode="External"/><Relationship Id="rIdxh4qr-2d04zw8s1vjfopq" Type="http://schemas.openxmlformats.org/officeDocument/2006/relationships/hyperlink" Target="https://gccassociation.org/gnr/" TargetMode="External"/><Relationship Id="rIddytfctqowxb8hmkaybxv1" Type="http://schemas.openxmlformats.org/officeDocument/2006/relationships/hyperlink" Target="https://icapcarbonaction.com/en/ets/china-national-ets" TargetMode="External"/><Relationship Id="rIdzlztjrznun0nvjymda2ep" Type="http://schemas.openxmlformats.org/officeDocument/2006/relationships/hyperlink" Target="https://www.iea.org/data-and-statistics/data-product/ccus-projects-database" TargetMode="External"/><Relationship Id="rIdncnewyoodu4oew_axbr62" Type="http://schemas.openxmlformats.org/officeDocument/2006/relationships/hyperlink" Target="https://www.unep.org/resources/eye-methane-2025" TargetMode="External"/><Relationship Id="rId7vw3afszvb5x2e3d_csj6" Type="http://schemas.openxmlformats.org/officeDocument/2006/relationships/hyperlink" Target="https://www.spglobal.com/marketintelligence/en/sector/metals-mining" TargetMode="External"/><Relationship Id="rId0eyixh2sldpjn23pqh9wc" Type="http://schemas.openxmlformats.org/officeDocument/2006/relationships/hyperlink" Target="https://eta-publications.lbl.gov/sites/default/files/2026-06/queued_up_2026_edition.pdf" TargetMode="External"/><Relationship Id="rIdprhhoaga5p8knmu5eiwaf" Type="http://schemas.openxmlformats.org/officeDocument/2006/relationships/hyperlink" Target="https://about.bnef.com/" TargetMode="External"/><Relationship Id="rIduhlxj-zt2bl-44skdr_hg" Type="http://schemas.openxmlformats.org/officeDocument/2006/relationships/hyperlink" Target="https://about.bnef.com/" TargetMode="External"/><Relationship Id="rIdewcdjsla9hziabn-ewrh-" Type="http://schemas.openxmlformats.org/officeDocument/2006/relationships/hyperlink" Target="https://about.bnef.com/" TargetMode="External"/><Relationship Id="rIdqwzqdwsdwaqqeasqlubiv" Type="http://schemas.openxmlformats.org/officeDocument/2006/relationships/hyperlink" Target="https://about.bnef.com/" TargetMode="External"/><Relationship Id="rIdvkbamfawevcbt9shablba" Type="http://schemas.openxmlformats.org/officeDocument/2006/relationships/hyperlink" Target="https://www.congress.gov/crs-product/R48906" TargetMode="External"/><Relationship Id="rIdaw46o8hudzaicq8c9kl9l" Type="http://schemas.openxmlformats.org/officeDocument/2006/relationships/hyperlink" Target="https://www.iata.org/en/programs/environment/sustainable-aviation-fuels/" TargetMode="External"/><Relationship Id="rIdhty5nj48xut1zy-q2dgt4" Type="http://schemas.openxmlformats.org/officeDocument/2006/relationships/hyperlink" Target="https://www.iata.org/en/iata-repository/pressroom/fact-sheets/fact-sheet-sustainable-aviation-fuels/" TargetMode="External"/><Relationship Id="rIdzompauvbelp06gsfbxlsl" Type="http://schemas.openxmlformats.org/officeDocument/2006/relationships/hyperlink" Target="https://theicct.org/publications/" TargetMode="External"/><Relationship Id="rIdle_f0jzu1o8qo2tymwksm" Type="http://schemas.openxmlformats.org/officeDocument/2006/relationships/hyperlink" Target="https://www.iea.org/energy-system/transport/aviation" TargetMode="External"/><Relationship Id="rIdm8a2p_ee6q5nwtlix1-z4" Type="http://schemas.openxmlformats.org/officeDocument/2006/relationships/hyperlink" Target="https://www.iea.org/energy-system/industry/cement" TargetMode="External"/><Relationship Id="rIdsjc8mfa3zdiuthbngfbsb" Type="http://schemas.openxmlformats.org/officeDocument/2006/relationships/hyperlink" Target="https://www.iea.org/reports/global-critical-minerals-outlook-2024" TargetMode="External"/><Relationship Id="rIdlsxismhuuog5hmvtkaxo5" Type="http://schemas.openxmlformats.org/officeDocument/2006/relationships/hyperlink" Target="https://www.iea.org/reports/global-critical-minerals-outlook-2024" TargetMode="External"/><Relationship Id="rIdaw4ahuvry6mqhy68mx_ib" Type="http://schemas.openxmlformats.org/officeDocument/2006/relationships/hyperlink" Target="https://www.iea.org/energy-system/electricity/grid-scale-storage" TargetMode="External"/><Relationship Id="rIdxhzqijtquz53s0e3ggcsu" Type="http://schemas.openxmlformats.org/officeDocument/2006/relationships/hyperlink" Target="https://www.iea.org/reports/global-ev-outlook-2025" TargetMode="External"/><Relationship Id="rIdhtkcgd4kwtrxsqgcasr2u" Type="http://schemas.openxmlformats.org/officeDocument/2006/relationships/hyperlink" Target="https://www.iea.org/reports/global-hydrogen-review-2024" TargetMode="External"/><Relationship Id="rIdfdprkfihi2rxahgpw1rok" Type="http://schemas.openxmlformats.org/officeDocument/2006/relationships/hyperlink" Target="https://www.iea.org/reports/global-methane-tracker-2025" TargetMode="External"/><Relationship Id="rIdslb3xv3ih3rwpjpcbg2m9" Type="http://schemas.openxmlformats.org/officeDocument/2006/relationships/hyperlink" Target="https://www.iea.org/reports/renewables-2024" TargetMode="External"/><Relationship Id="rIdligduuixw298ldixgvsvh" Type="http://schemas.openxmlformats.org/officeDocument/2006/relationships/hyperlink" Target="https://www.iea.org/reports/the-future-of-petrochemicals" TargetMode="External"/><Relationship Id="rIdfbaus0qktxngnahu9dbjh" Type="http://schemas.openxmlformats.org/officeDocument/2006/relationships/hyperlink" Target="https://www.iea.org/reports/world-energy-investment-2025" TargetMode="External"/><Relationship Id="rId903uflf7nninx1fs0boyr" Type="http://schemas.openxmlformats.org/officeDocument/2006/relationships/hyperlink" Target="https://www.iea.org/reports/world-energy-outlook-2024" TargetMode="External"/><Relationship Id="rIda5pltwzfcohr1nbcxwhh5" Type="http://schemas.openxmlformats.org/officeDocument/2006/relationships/hyperlink" Target="https://ieefa.org/resources/chinas-emissions-trading-system-ets-reforms-track-needs-robust-enforcement" TargetMode="External"/><Relationship Id="rId9mlbqmxqi1moiohn2y8rx" Type="http://schemas.openxmlformats.org/officeDocument/2006/relationships/hyperlink" Target="https://www.irena.org/-/media/Files/IRENA/Agency/Publication/2024/Sep/IRENA_Renewable_power_generation_costs_in_2023.pdf" TargetMode="External"/><Relationship Id="rIdmtggvsoudksd-l004thuq" Type="http://schemas.openxmlformats.org/officeDocument/2006/relationships/hyperlink" Target="https://www.lazard.com/media/kcfconhf/lazards-lcoeplus_vf.pdf" TargetMode="External"/><Relationship Id="rIdtfgonnxz1bauko-ycjeki" Type="http://schemas.openxmlformats.org/officeDocument/2006/relationships/hyperlink" Target="https://www.mee.gov.cn/ywgz/ydqhbh/wsqtkz/202509/W020250927515319387445.pdf" TargetMode="External"/><Relationship Id="rIdyzazamzq7uuvnvuznbd8b" Type="http://schemas.openxmlformats.org/officeDocument/2006/relationships/hyperlink" Target="https://missionpossiblepartnership.org/tracker" TargetMode="External"/><Relationship Id="rIdkaig9atzr4z9ilq3wwa4b" Type="http://schemas.openxmlformats.org/officeDocument/2006/relationships/hyperlink" Target="https://www.energy-transitions.org/wp-content/uploads/2022/09/Making-Net-Zero-Steel-possible.pdf" TargetMode="External"/><Relationship Id="rIde0uz_4x1_jbwlbqypyzge" Type="http://schemas.openxmlformats.org/officeDocument/2006/relationships/hyperlink" Target="https://www.energy-transitions.org/wp-content/uploads/2020/08/ETC_MissionPossible_FullReport.pdf" TargetMode="External"/><Relationship Id="rIdn2-4mhqey3hkyiv3r7mq1" Type="http://schemas.openxmlformats.org/officeDocument/2006/relationships/hyperlink" Target="https://www.oecd.org/en/topics/sub-issues/steel-market-developments.html" TargetMode="External"/><Relationship Id="rId7cejssi87m_qwgvr35p_h" Type="http://schemas.openxmlformats.org/officeDocument/2006/relationships/hyperlink" Target="https://www.theclimategroup.org/hubfs/2024%20RE100%20Annual%20disclosure%20report%20(3)%20(1).pdf" TargetMode="External"/><Relationship Id="rIdsgxtfjmdvsmw4vjvx2opd" Type="http://schemas.openxmlformats.org/officeDocument/2006/relationships/hyperlink" Target="https://transitionasia.org/wp-content/uploads/2025/03/EN_Steel-Enters-China-ETS.pdf" TargetMode="External"/><Relationship Id="rId0novmu-xxoolajhq9yvly" Type="http://schemas.openxmlformats.org/officeDocument/2006/relationships/hyperlink" Target="https://worldsteel.org/wp-content/uploads/World-Steel-in-Figures-2026.pdf" TargetMode="External"/><Relationship Id="rIdsccrkjrf1gjmbmu61n_7u" Type="http://schemas.openxmlformats.org/officeDocument/2006/relationships/hyperlink" Target="https://ww2.arb.ca.gov/our-work/programs/advanced-clean-fleets" TargetMode="External"/><Relationship Id="rIdll2egnm_aasltb0wa3nsl" Type="http://schemas.openxmlformats.org/officeDocument/2006/relationships/hyperlink" Target="https://www.ndrc.gov.cn/" TargetMode="External"/><Relationship Id="rIdzhlxddydwja04mo4bax-y" Type="http://schemas.openxmlformats.org/officeDocument/2006/relationships/hyperlink" Target="https://www.mee.gov.cn/xxgk2018/xxgk/xxgk03/202311/W020231107750707766959.pdf" TargetMode="External"/><Relationship Id="rId0xcbs4ysaaucjm88vsltf" Type="http://schemas.openxmlformats.org/officeDocument/2006/relationships/hyperlink" Target="https://www.mnr.gov.cn/" TargetMode="External"/><Relationship Id="rIdokmwqwzpgdvvn87n8ksyq" Type="http://schemas.openxmlformats.org/officeDocument/2006/relationships/hyperlink" Target="https://www.mee.gov.cn/xxgk2018/xxgk/xxgk03/202511/W020251118634892868994.pdf" TargetMode="External"/><Relationship Id="rId6co24ad-pxsatrhzqzemo" Type="http://schemas.openxmlformats.org/officeDocument/2006/relationships/hyperlink" Target="https://www.ndrc.gov.cn/xxgk/zcfb/ghwb/202206/P020220602315308557623.pdf" TargetMode="External"/><Relationship Id="rIdabrsaj9mjn-08wuafmt7-" Type="http://schemas.openxmlformats.org/officeDocument/2006/relationships/hyperlink" Target="https://www.gov.cn/zhengce/zhengceku/2020-06/22/content_5521144.htm" TargetMode="External"/><Relationship Id="rIdwhsh91hpay6_oodaxfoyu" Type="http://schemas.openxmlformats.org/officeDocument/2006/relationships/hyperlink" Target="https://circabc.europa.eu/rest/download/862af61d-a410-4baa-a7b9-22273623db57" TargetMode="External"/><Relationship Id="rIdrfvdvg1nazr5xpxaf-hmv" Type="http://schemas.openxmlformats.org/officeDocument/2006/relationships/hyperlink" Target="https://circabc.europa.eu/rest/download/862af61d-a410-4baa-a7b9-22273623db57" TargetMode="External"/><Relationship Id="rIdycrugdtszuqjzqg-4zerh" Type="http://schemas.openxmlformats.org/officeDocument/2006/relationships/hyperlink" Target="https://cinea.ec.europa.eu/programmes/innovation-fund/innovation-fund-project-portfolio-dashboard_en" TargetMode="External"/><Relationship Id="rIdcqmgcgjn2pawuxlwbeynx" Type="http://schemas.openxmlformats.org/officeDocument/2006/relationships/hyperlink" Target="https://www.icao.int/corsia-state-pairs" TargetMode="External"/><Relationship Id="rIdxryzumbjotgbwszixhzxi" Type="http://schemas.openxmlformats.org/officeDocument/2006/relationships/hyperlink" Target="https://www.imo.org/en/OurWork/Environment/Pages/2023-IMO-Strategy-on-Reduction-of-GHG-Emissions-from-Ships.aspx" TargetMode="External"/><Relationship Id="rIdurahweyag4rmdkr9ympv_" Type="http://schemas.openxmlformats.org/officeDocument/2006/relationships/hyperlink" Target="https://www.imo.org/en/OurWork/Environment/Pages/2023-IMO-Strategy-on-Reduction-of-GHG-Emissions-from-Ships.aspx" TargetMode="External"/><Relationship Id="rIdw6tc5jysmmsvzqowdsqge" Type="http://schemas.openxmlformats.org/officeDocument/2006/relationships/hyperlink" Target="https://www.mofcom.gov.cn/zcfb/blgg/gg/2025/index.html" TargetMode="External"/><Relationship Id="rId-hlrfv_aphjllttha5adk" Type="http://schemas.openxmlformats.org/officeDocument/2006/relationships/hyperlink" Target="https://www.iccsafe.org/" TargetMode="External"/><Relationship Id="rIdll9nyiohvc_oj8a0ziapn" Type="http://schemas.openxmlformats.org/officeDocument/2006/relationships/hyperlink" Target="https://www.energy.gov/oced/industrial-demonstrations-program" TargetMode="External"/><Relationship Id="rIduaxpoywbflvzoxnbu9y19" Type="http://schemas.openxmlformats.org/officeDocument/2006/relationships/hyperlink" Target="https://www.federalregister.gov/documents/2024/04/22/2024-06809/greenhouse-gas-emissions-standards-for-heavy-duty-vehicles-phase-3" TargetMode="External"/><Relationship Id="rIdcocjne2gdkejdse6qlqat" Type="http://schemas.openxmlformats.org/officeDocument/2006/relationships/hyperlink" Target="https://www.federalregister.gov/documents/2025/05/19/2025-08688/congressional-review-act-revocation-of-waste-emissions-charge-for-petroleum-and-natural-gas-systems" TargetMode="External"/><Relationship Id="rIdvfuhxb3x26s77mut-9uij" Type="http://schemas.openxmlformats.org/officeDocument/2006/relationships/hyperlink" Target="https://sustainability.gov/pdfs/federal-buy-clean-initiative_progress-and-path-forward.pdf" TargetMode="External"/><Relationship Id="rIdci-syco6h36u_m6lfbmxw" Type="http://schemas.openxmlformats.org/officeDocument/2006/relationships/hyperlink" Target="https://www.congress.gov/bill/118th-congress/house-bill/1" TargetMode="External"/><Relationship Id="rIdu86nbwjsj_7qd9ot1q93d" Type="http://schemas.openxmlformats.org/officeDocument/2006/relationships/hyperlink" Target="https://www.energy.gov/mesc/30d-new-clean-vehicle-credit" TargetMode="External"/><Relationship Id="rIdiutw5irurvlplglvrv-ag" Type="http://schemas.openxmlformats.org/officeDocument/2006/relationships/hyperlink" Target="https://www.energy.gov/sites/default/files/2022-09/beto-saf-gc-roadmap-report-sept-2022.pdf" TargetMode="External"/><Relationship Id="rIdymwjnfu9pftzd2naexqlw" Type="http://schemas.openxmlformats.org/officeDocument/2006/relationships/hyperlink" Target="https://www.govinfo.gov/content/pkg/FR-2025-01-10/pdf/2024-31513.pdf" TargetMode="External"/><Relationship Id="rId9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Transition Barrier Assessment</dc:title>
  <dc:creator>Agentic Research Pipeline</dc:creator>
  <dc:description>105-cell sector x region transition-feasibility matrix: 35 criteria x EU/US/China, with 94 verified sources.</dc:description>
  <cp:lastModifiedBy>Un-named</cp:lastModifiedBy>
  <cp:revision>1</cp:revision>
  <dcterms:created xsi:type="dcterms:W3CDTF">2026-10-18T15:44:53.983Z</dcterms:created>
  <dcterms:modified xsi:type="dcterms:W3CDTF">2026-10-18T15:44:53.983Z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