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3B2F8C"/>
          <w:sz w:val="56"/>
          <w:szCs w:val="56"/>
        </w:rPr>
        <w:t xml:space="preserve">Transition Barrier Assessment</w:t>
      </w:r>
    </w:p>
    <w:p>
      <w:pPr>
        <w:spacing w:after="400"/>
      </w:pPr>
      <w:r>
        <w:rPr>
          <w:rFonts w:ascii="Calibri" w:cs="Calibri" w:eastAsia="Calibri" w:hAnsi="Calibri"/>
          <w:color w:val="5A5A6E"/>
          <w:sz w:val="28"/>
          <w:szCs w:val="28"/>
        </w:rPr>
        <w:t xml:space="preserve">How feasible is decarbonisation, by sector and by region?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35 criteria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 hard-to-abate sectors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regions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105 rated cells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89 verified sources</w:t>
      </w:r>
    </w:p>
    <w:p>
      <w:pPr>
        <w:spacing w:after="120" w:before="0"/>
      </w:pPr>
      <w:r>
        <w:rPr>
          <w:rFonts w:ascii="Calibri" w:cs="Calibri" w:eastAsia="Calibri" w:hAnsi="Calibri"/>
          <w:color w:val="5A5A6E"/>
          <w:sz w:val="20"/>
          <w:szCs w:val="20"/>
        </w:rPr>
        <w:t xml:space="preserve">Agentic Research Pipeline — module reference</w:t>
      </w:r>
    </w:p>
    <w:p>
      <w:pPr>
        <w:spacing w:after="120" w:before="0"/>
      </w:pPr>
      <w:r>
        <w:rPr>
          <w:rFonts w:ascii="Calibri" w:cs="Calibri" w:eastAsia="Calibri" w:hAnsi="Calibri"/>
          <w:color w:val="5A5A6E"/>
          <w:sz w:val="20"/>
          <w:szCs w:val="20"/>
        </w:rPr>
        <w:t xml:space="preserve">Data verified 2026-08-14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What this is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Transition Barrier Assessment answers a question that sits upstream of every company-level climate judgement: how feasible is decarbonisation in this sector, in this region, at all? It scores 9 hard-to-abate sectors against 35 criteria, each rated for the European Union, the United States and China — a 105-cell matrix. Every cell carries an H/M/L rating, a confidence tier, the evidence it rests on, the sources behind it, and the date it was last verified.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sz w:val="20"/>
          <w:szCs w:val="20"/>
        </w:rPr>
        <w:t xml:space="preserve">Read the rating the right way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 means transition is more feasible — fewer barriers — not that the barrier is high.</w:t>
      </w:r>
      <w:r>
        <w:rPr>
          <w:rFonts w:ascii="Calibri" w:cs="Calibri" w:eastAsia="Calibri" w:hAnsi="Calibri"/>
          <w:sz w:val="20"/>
          <w:szCs w:val="20"/>
        </w:rPr>
        <w:t xml:space="preserve"> This is the most common way to misread the matrix. A cell rated L is one where decarbonisation is hard: the technology is not ready, the regulation is absent, or the economics do not close.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400"/>
        <w:gridCol w:w="13998"/>
      </w:tblGrid>
      <w:tr>
        <w:trPr>
          <w:tblHeader/>
        </w:trPr>
        <w:tc>
          <w:tcPr>
            <w:tcW w:type="dxa" w:w="14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39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4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3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feasibility — the enabling condition is in place</w:t>
            </w:r>
          </w:p>
        </w:tc>
      </w:tr>
      <w:tr>
        <w:tc>
          <w:tcPr>
            <w:tcW w:type="dxa" w:w="14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13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 — partially in place, or in place with material caveats</w:t>
            </w:r>
          </w:p>
        </w:tc>
      </w:tr>
      <w:tr>
        <w:tc>
          <w:tcPr>
            <w:tcW w:type="dxa" w:w="14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13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feasibility — the enabling condition is largely absent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sz w:val="20"/>
          <w:szCs w:val="20"/>
        </w:rPr>
        <w:t xml:space="preserve">Confidence (high / medium / low) is a separate axis recording how sure the analyst was given the evidence available. It is not a measure of how recently the cell was checked — staleness is tracked independently.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0"/>
          <w:szCs w:val="20"/>
        </w:rPr>
        <w:t xml:space="preserve">What the matrix currently says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Across all 105 cells: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24 H · 49 M · 32 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2600"/>
        <w:gridCol w:w="900"/>
        <w:gridCol w:w="900"/>
        <w:gridCol w:w="900"/>
        <w:gridCol w:w="10098"/>
      </w:tblGrid>
      <w:tr>
        <w:trPr>
          <w:tblHeader/>
        </w:trPr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100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European Union</w:t>
            </w:r>
          </w:p>
        </w:tc>
        <w:tc>
          <w:tcPr>
            <w:tcW w:type="dxa" w:w="9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 is largely in place; the binding constraints are technological and economic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United States</w:t>
            </w:r>
          </w:p>
        </w:tc>
        <w:tc>
          <w:tcPr>
            <w:tcW w:type="dxa" w:w="9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Mostly moderate, and materially weaker on regulation after the 2025 federal reversals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</w:t>
            </w:r>
          </w:p>
        </w:tc>
        <w:tc>
          <w:tcPr>
            <w:tcW w:type="dxa" w:w="100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Strong on deployment and manufacturing scale, weak on binding carbon pricing and mandates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sz w:val="20"/>
          <w:szCs w:val="20"/>
        </w:rPr>
        <w:t xml:space="preserve">Why this needs automated re-verification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Two US cells moved during the August 2026 verification pass, and neither would have been caught by re-fetching the same government page — both required searching for news of the policy change itself.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500"/>
        <w:gridCol w:w="1100"/>
        <w:gridCol w:w="12798"/>
      </w:tblGrid>
      <w:tr>
        <w:trPr>
          <w:tblHeader/>
        </w:trPr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1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27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changed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MIN-R2 (US)</w:t>
            </w:r>
          </w:p>
        </w:tc>
        <w:tc>
          <w:tcPr>
            <w:tcW w:type="dxa" w:w="11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127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 30D's critical mineral sourcing requirement no longer functions as an active demand-side incentive: the New Clean Vehicle Credit terminated for vehicles acquired after 30 September 2025 under the One Big Beautiful Bill Act (P.L. 119-21, signed 4 July 2025). The domestic/FTA-partner sourcing thresholds that previously tied a material subsidy to critical mineral origin have lost their financial mechanism. Some residual effect persists through Section 45X advanced manufacturing credits and remaining IRA-era supply chain investment already committed, which is why this is a downgrade to Moderate rather than Low.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OGU-R1 (US)</w:t>
            </w:r>
          </w:p>
        </w:tc>
        <w:tc>
          <w:tcPr>
            <w:tcW w:type="dxa" w:w="11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127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EPA's Waste Emissions Charge implementing rule was nullified via a Congressional Review Act joint resolution (H.J.Res.35, P.L. 119-2) signed 14 March 2025. The underlying statutory fee remains on the books but EPA is barred from collecting it until 2034, and the CRA bars EPA from issuing a substantially similar rule without new legislative authority. No enforceable federal methane price currently applies to US upstream oil and gas operations; EPA performance standards (NSPS OOOOb/EG OOOOc) and GHG reporting requirements remain in effect but carry no direct cost mechanism.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the argument for a policy-change search step, not merely a source re-fetch step, for every legal and government-publication source.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0"/>
          <w:szCs w:val="20"/>
        </w:rPr>
        <w:t xml:space="preserve">Operating rules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Never auto-commit a rating change.</w:t>
      </w:r>
      <w:r>
        <w:rPr>
          <w:rFonts w:ascii="Calibri" w:cs="Calibri" w:eastAsia="Calibri" w:hAnsi="Calibri"/>
          <w:sz w:val="20"/>
          <w:szCs w:val="20"/>
        </w:rPr>
        <w:t xml:space="preserve"> A refresh may propose an H/M/L move; only a human may accept it. Updating evidence text or the last-verified date on an unchanged rating is fine.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Every extracted value needs a confidence tier and an exact source quote</w:t>
      </w:r>
      <w:r>
        <w:rPr>
          <w:rFonts w:ascii="Calibri" w:cs="Calibri" w:eastAsia="Calibri" w:hAnsi="Calibri"/>
          <w:sz w:val="20"/>
          <w:szCs w:val="20"/>
        </w:rPr>
        <w:t xml:space="preserve"> before it is written anywhere. No bare numbers.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Staleness and confidence are tracked separately.</w:t>
      </w:r>
      <w:r>
        <w:rPr>
          <w:rFonts w:ascii="Calibri" w:cs="Calibri" w:eastAsia="Calibri" w:hAnsi="Calibri"/>
          <w:sz w:val="20"/>
          <w:szCs w:val="20"/>
        </w:rPr>
        <w:t xml:space="preserve"> A high-confidence rating that has not been re-checked in 18 months is stale, not low-confidence.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When sources disagree, surface both.</w:t>
      </w:r>
      <w:r>
        <w:rPr>
          <w:rFonts w:ascii="Calibri" w:cs="Calibri" w:eastAsia="Calibri" w:hAnsi="Calibri"/>
          <w:sz w:val="20"/>
          <w:szCs w:val="20"/>
        </w:rPr>
        <w:t xml:space="preserve"> Never silently pick one — a conflict becomes a review item carrying both versions and no proposed rating.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The 35 criteria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Grouped by sector. Each criterion states what is measured, in what unit, and the explicit thresholds separating H, M and 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Power &amp; Utilities (5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Levelised cost of renewable generation vs. new-build fossil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LCOE of utility-scale solar PV and onshore wind (USD/MWh) vs. LCOE of new-build CCGT/coal in the same region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USD/MWh, ratio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LCOE &lt;= New-build fossil LCOE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Renewable-to-fossil LCOE ratio &lt;= 1.3 or Subsidised renewable LCOE &lt;= New-build fossil LCOE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Grid-scale storage / firming technology readiness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Deployed grid-scale battery storage capacity (GWh) relative to variable renewable capacity (GW) in the region; TRL of long-duration storage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GWh storage per GW variable renewables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 and solar curtailment rate &lt;= 5% and Storage share of variable renewable capacity &gt;= [open: Non-negligible storage share]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Storage share of variable renewable capacity &gt;= [open: Non-negligible storage share]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Effective carbon price on power generation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Carbon price applicable to power sector emissions (ETS price, carbon tax, or implicit price via clean energy mandate penalty)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USD/tCO2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(Effective carbon price on power &gt; 60 USD/tCO2 and Carbon price coverage = region_wide) or Clean generation mandate = binding_100pct_with_penalty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on power &gt;= 15 USD/tCO2 or Clean generation mandate = other_target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PWR-R2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Renewable deployment target and permitting regime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Legally binding renewable capacity target (GW or % of generation) by target year; average grid connection queue time (years)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GW target, years to connect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target status = binding and Grid connection time &lt; 3 years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target status in binding, aspirational_or_sub_regional and Grid connection time &lt;= 7 years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Corporate and utility PPA market depth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Annual volume of signed corporate/utility power purchase agreements (GW) for renewable generation in the region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GW/year signed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PPA volume as share of additions &gt;= [open: PPA share of an established market] and PPA volume signed &gt;= PPA volume signed, prior year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PPA volume as share of additions &gt;= [open: PPA share above negligible]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Steel (5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hydrogen cost vs. DRI-H2 breakeven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Delivered cost of green hydrogen (USD/kg) at production site, vs. estimated breakeven cost for DRI-H2 route to be cost-competitive with BF-BOF at prevailing carbon price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USD/kg H2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hydrogen supply present is Yes and Renewable hydrogen cost &lt;= DRI-H2 breakeven hydrogen cost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hydrogen supply present is Yes and Hydrogen cost to breakeven &lt;= 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Scrap steel availability (EAF route feasibility)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Domestic scrap steel collection and availability as % of crude steel production capacity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production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Scrap availability as share of capacity &gt; 50%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Scrap availability as share of capacity &gt;= 25%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Effective carbon price on steel production incl. border adjustment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ETS/carbon tax price applicable to steel production, adjusted for free allocation phase-out and any import border levy (e.g. CBAM)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USD/tCO2 net of free allocation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steel is Yes and Carbon price on steel &gt; 50 USD/tCO2 and Border carbon levy in force is Yes and Free allocation phase-out legislated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steel is Yes and Carbon price on steel &gt;= 33.92 USD/tCO2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STL-R2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Green/low-carbon steel public procurement or building-code mandate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Existence and scope of government mandate requiring low-carbon steel in public infrastructure procurement or building codes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Binary/scope descriptor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steel procurement rule = binding and Share of steel demand covered &gt;= [open: Material share of construction demand]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steel procurement rule in binding, voluntary_or_pilot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steel price premium and recoverability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Market premium for certified low-carbon steel (USD/tonne) vs. conventional, and share of premium covered by signed offtake contracts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USD/tonne premium; % under contract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steel premium disclosed is Yes and Share of announced capacity under offtake &gt;= [open: Material offtake share]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steel premium disclosed is Yes and Offtake agreements signed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Cement (5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CCS capture technology deployment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Number and capacity (Mtpa CO2) of operational or under-construction full-scale cement CCS facilities in the region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Mtpa capacity, facility count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Largest operating cement CCS plant &gt;= 0.4 Mtpa CO2 and Operating track record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Largest cement CCS plant at FID or in construction &gt;= 0.4 Mtpa CO2 or Largest operating cement CCS plant &gt;= 0.4 Mtpa CO2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Clinker substitution rate (SCM availability)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Average clinker-to-cement ratio in the region; availability of supplementary cementitious materials (fly ash, slag, calcined clay)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Clinker ratio (%)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Clinker-to-cement ratio &lt; 0.65 t/t and Active SCM substitution programme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Clinker-to-cement ratio &lt;= 0.8 t/t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Effective carbon price on cement production incl. border adjustment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ETS/carbon tax price applicable to cement, net of free allocation, adjusted for any import border levy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USD/tCO2 net of free allocation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cement is Yes and Carbon price on cement &gt; 50 USD/tCO2 and Border carbon levy in force is Yes and Free allocation phase-out legislated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cement is Yes and Carbon price on cement &gt;= 33.92 USD/tCO2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CEM-R2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CCS infrastructure support scheme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Existence of public funding mechanism for CCS infrastructure (capture, transport, storage) applicable to cement plants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Binary/scope, EUR or USD committed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CCS funding scheme is Yes and Funds disbursed to cement CCS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CCS funding scheme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Low-carbon cement premium recoverability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Market premium for low-carbon/CCS-derived cement (USD/tonne) vs. conventional; share recoverable via green public procurement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USD/tonne premium; % public procurement covered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cement procurement rule = binding and Binding demand as share of low-carbon capacity &gt;= [open: Material share of low-carbon capacity]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cement procurement rule in binding, voluntary_or_pilot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Chemicals (4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Green/blue hydrogen availability for ammonia and feedstock use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Delivered cost of low-carbon hydrogen (USD/kg) vs. grey hydrogen cost at prevailing natural gas price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USD/kg H2, cost ratio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hydrogen supply present is Yes and (Low-carbon to grey hydrogen cost &lt;= 1.2 or Low-carbon hydrogen cost &lt;= Grey hydrogen cost with carbon price)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hydrogen supply present is Yes and Low-carbon to grey hydrogen cost &lt;= 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Electrification of process heat (steam cracking) readiness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TRL of electric steam cracker technology; number of announced/piloted electric cracker projects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TRL, project count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Electric cracking readiness in the region &gt;= 7 TRL and Commercial-scale electric cracker operating or at FID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Electric cracking readiness in the region &gt;= 5 TRL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Effective carbon price on chemicals production incl. border adjustment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ETS/carbon tax price applicable to chemicals production, net of free allocation, adjusted for any border levy where scope includes chemicals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USD/tCO2 net of free allocation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chemicals is Yes and Carbon price on chemicals &gt; 50 USD/tCO2 and Border carbon levy in force for chemicals is Yes and Free allocation phase-out legislated for chemicals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chemicals is Yes and Carbon price on chemicals &gt;= 33.92 USD/tCO2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ammonia/methanol offtake market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Volume (tonnes/year) of signed offtake agreements for green ammonia or green methanol, primarily driven by shipping fuel demand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Tonnes/year signed offtake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Binding green ammonia or methanol offtake signed is Yes and Offtake premium disclosed is Yes and Signed green ammonia and methanol offtake &gt;= [open: Material offtake volume]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Binding green ammonia or methanol offtake signed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Critical Minerals &amp; Mining (4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Mine electrification and processing technology readiness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Share of new mining equipment orders that are battery-electric; TRL of electrified ore processing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equipment orders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Battery-electric equipment in production at more than one mine is Yes and Battery-electric share of equipment orders &gt;= [open: At-scale battery-electric order share]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Battery-electric equipment at an operating mine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Fast-track permitting regime for strategic minerals projects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Statutory maximum permitting timeline (months) for a designated strategic minerals project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Months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Fast-track permitting for strategic minerals projects = statutory and Statutory maximum permitting time &lt; 30 months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Fast-track permitting for strategic minerals projects in statutory, discretionary or Standard permitting time &lt;= 60 months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MIN-R2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Domestic sourcing / content requirement policy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Existence and threshold of domestic or allied-sourcing content requirements tied to subsidy eligibility or public procurement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Binary, % threshold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Domestic or allied content requirement = binding and Required domestic or allied content &gt;= [open: Low content threshold] and Subsidy tied to the requirement &gt;= [open: Material subsidy value]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Domestic or allied content requirement in binding, other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Committed offtake and supply agreements vs. identified demand gap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Volume of long-term offtake agreements signed (tonnes/year) as a share of the region's projected NZE-scenario demand gap for the mineral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demand gap covered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projected lithium supply gap is Yes or Share of lithium supply gap covered &gt;= [open: Material share of the supply gap]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of lithium supply gap covered &gt;= [open: Minimal share of the supply gap]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Aviation (3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SAF production capacity vs. jet fuel demand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Regional SAF production capacity (million litres/year) as a share of total regional jet fuel demand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jet fuel demand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capacity share of jet fuel demand &gt; 5% and SAF expansion at FID or under construction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capacity share of jet fuel demand &gt;= 1%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SAF blending mandate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Legally binding minimum SAF blending percentage by target year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mandate by year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blending mandate = in_force and Mandated share rises by law is Yes and Penalties for missing the mandate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blending mandate in in_force, announced_or_voluntary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SAF price premium and corporate offtake coverage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SAF price premium vs. conventional jet fuel (USD/litre or multiple); volume covered by corporate/airline offtake agreements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multiple; % covered by offtake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Premium offset mechanism in force is Yes and SAF offtake signed is Yes and Share of SAF premium offset &gt;= [open: Substantial offset share] and SAF offtake share of jet fuel demand &gt;= [open: Material offtake share]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Premium offset mechanism in force is Yes or SAF offtake signed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Shipping (3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Dual-fuel/alternative-fuel vessel order book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Share of new vessel orders (by gross tonnage or vessel count) specified as methanol, ammonia, or LNG dual-fuel capable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new orders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Alternative-fuel-capable share of new orders &gt; 30%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Alternative-fuel-capable share of new orders &gt;= 10%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Effective carbon price / fuel intensity mandate on shipping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Carbon price applicable to shipping emissions (e.g. EU ETS maritime inclusion) and/or binding fuel greenhouse gas intensity reduction mandate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USD/tCO2; % intensity reduction mandate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shipping is Yes and Binding fuel GHG intensity mandate applies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Carbon price applies to shipping is Yes or Binding fuel GHG intensity mandate applies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Green shipping corridor and cargo owner offtake commitments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Number of announced green shipping corridors; volume of freight committed by cargo owners (via Cargo Owners for Zero Emission Vessels or equivalent) to low-carbon shipping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Corridor count; committed freight volume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Corridors with committed cargo and a premium mechanism &gt; 1 corridors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Corridor with signed cargo commitment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Heavy-Duty Road Transport (3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Battery-electric/fuel-cell truck TCO parity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Total cost of ownership (TCO) of battery-electric heavy truck vs. diesel equivalent for the dominant regional duty cycle (regional distribution vs. long-haul)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TCO ratio (BEV:diesel)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Zero-emission truck TCO, regional &lt;= Diesel truck TCO, regional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TCO ratio, regional &lt;= 1.2 or TCO ratio, long-haul &lt;= 1.2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Zero-emission heavy vehicle sales mandate or CO2 standard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Binding CO2 emission standard or zero-emission sales mandate for new heavy trucks, with target year and stringency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reduction or % ZEV by year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Heavy truck CO2 standard or ZEV mandate = in_force and Penalties for missing the standard is Yes and Required ZEV share of new heavy truck sales in 2030 &gt;= 30%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Heavy truck CO2 standard or ZEV mandate in in_force, announced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Charging/refuelling infrastructure density on freight corridors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Number of public heavy-duty charging/hydrogen refuelling points per 100km on the region's primary freight corridors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per 100km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Heavy-duty charging and refuelling density on primary freight corridors &gt;= 3.33 points per 100 km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Heavy-duty charging and refuelling density on primary freight corridors &gt;= [open: Density above minimal]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sz w:val="20"/>
          <w:szCs w:val="20"/>
        </w:rPr>
        <w:t xml:space="preserve">Oil &amp; Gas Upstream (3 criteria)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000"/>
        <w:gridCol w:w="1500"/>
        <w:gridCol w:w="3898"/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0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8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 / metric</w:t>
            </w:r>
          </w:p>
        </w:tc>
        <w:tc>
          <w:tcPr>
            <w:tcW w:type="dxa" w:w="1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 — more feasible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 — less feasible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Methane abatement technology deployment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Share of regional upstream production covered by leak detection and repair (LDAR) programmes and flaring reduction technology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production covered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 covered by LDAR and flaring reduction &gt; 50%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Deployed at the region's major operators is Yes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OGU-R1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Methane regulation and fee structure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Existence of a binding methane emission limit or fee applicable to upstream operations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Binary; USD/tonne methane fee where applicable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Binding methane limit or fee = in_force and Enforcement mechanism is Yes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Binding methane limit or fee in in_force, phase_in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OGU-D1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 &amp; Economics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 demand trajectory / structural decline exposure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A6E"/>
                <w:sz w:val="15"/>
                <w:szCs w:val="15"/>
              </w:rPr>
              <w:t xml:space="preserve">Projected regional oil and gas demand trajectory to 2035 under stated policy vs. announced pledges scenarios (IEA)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change in demand 2024-2035</w:t>
            </w:r>
          </w:p>
        </w:tc>
        <w:tc>
          <w:tcPr>
            <w:tcW w:type="dxa" w:w="2500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Oil and gas demand change to 2035 (stated policies) &gt;= [open: Largest decline still stable]</w:t>
            </w:r>
          </w:p>
        </w:tc>
        <w:tc>
          <w:tcPr>
            <w:tcW w:type="dxa" w:w="2500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Oil and gas demand change to 2035 (stated policies) &gt;= [open: Decline short of structural]</w:t>
            </w:r>
          </w:p>
        </w:tc>
        <w:tc>
          <w:tcPr>
            <w:tcW w:type="dxa" w:w="2500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Otherwise (neither H nor M holds)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The 105 ratings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Every criterion rated for all three regions, with the confidence tier attached to each rating.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1100"/>
        <w:gridCol w:w="4200"/>
        <w:gridCol w:w="3366"/>
        <w:gridCol w:w="3366"/>
        <w:gridCol w:w="3366"/>
      </w:tblGrid>
      <w:tr>
        <w:trPr>
          <w:tblHeader/>
        </w:trPr>
        <w:tc>
          <w:tcPr>
            <w:tcW w:type="dxa" w:w="1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42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66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European Union</w:t>
            </w:r>
          </w:p>
        </w:tc>
        <w:tc>
          <w:tcPr>
            <w:tcW w:type="dxa" w:w="3366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United States</w:t>
            </w:r>
          </w:p>
        </w:tc>
        <w:tc>
          <w:tcPr>
            <w:tcW w:type="dxa" w:w="3366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Levelised cost of renewable generation vs. new-build fossil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PWR-T2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Grid-scale storage / firming technology readiness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on power generation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PWR-R2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Renewable deployment target and permitting regime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PWR-D1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Corporate and utility PPA market depth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(medium)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hydrogen cost vs. DRI-H2 breakeven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STL-T2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Scrap steel availability (EAF route feasibility)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on steel production incl. border adjustment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STL-R2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Green/low-carbon steel public procurement or building-code mandate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STL-D1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steel price premium and recoverability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CCS capture technology deployment status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CEM-T2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Clinker substitution rate (SCM availability)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on cement production incl. border adjustment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CEM-R2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CCS infrastructure support scheme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CEM-D1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Low-carbon cement premium recoverability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Green/blue hydrogen availability for ammonia and feedstock use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CHM-T2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Electrification of process heat (steam cracking) readiness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on chemicals production incl. border adjustment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CHM-D1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ammonia/methanol offtake market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Mine electrification and processing technology readiness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Fast-track permitting regime for strategic minerals projects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MIN-R2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Domestic sourcing / content requirement policy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Committed offtake and supply agreements vs. identified demand gap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production capacity vs. jet fuel demand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blending mandate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AVI-D1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price premium and corporate offtake coverage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Dual-fuel/alternative-fuel vessel order book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Effective carbon price / fuel intensity mandate on shipping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SHP-D1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shipping corridor and cargo owner offtake commitments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Battery-electric/fuel-cell truck TCO parity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Zero-emission heavy vehicle sales mandate or CO2 standard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HDT-D1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Charging/refuelling infrastructure density on freight corridors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OGU-T1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Methane abatement technology deployment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(low)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OGU-R1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Methane regulation and fee structure</w:t>
            </w:r>
          </w:p>
        </w:tc>
        <w:tc>
          <w:tcPr>
            <w:tcW w:type="dxa" w:w="3366"/>
            <w:shd w:fill="D6EF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(medium)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OGU-D1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Market demand trajectory / structural decline exposure</w:t>
            </w:r>
          </w:p>
        </w:tc>
        <w:tc>
          <w:tcPr>
            <w:tcW w:type="dxa" w:w="3366"/>
            <w:shd w:fill="F7DA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  (high)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  <w:tc>
          <w:tcPr>
            <w:tcW w:type="dxa" w:w="3366"/>
            <w:shd w:fill="FB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  (medium)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The 89 sources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Grouped by access pattern — how the source can actually be retrieved, which determines whether re-verification can be automated. Only the 15 legal/regulatory sources are automated today; the other 74 require manual verification. A source marked Manual cannot be fetched as a document; the reason is given.</w:t>
      </w:r>
    </w:p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Legal / regulatory text (15)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Automated. Stable ELI/CELEX identifiers survive amendment, so version changes are detectable without scraping prose.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3tuy8yazniisfw-lzsw67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Alternative Fuels Infrastructure Regulation (2023/1804) compliance tracking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 4 for heavy-duty charging along the TEN-T road network (pool power and distance requirements, e.g. Article 4(1)(c)); Article 3 covers light-duty vehicles; Article 6 for hydrogen refuelling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ikufqyzhudfbji1wv_sft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CBAM Regulation - cement sector scope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/ Official Journal of the EU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for amending acts quarterly; consolidated text updates automatically at EUR-Lex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regulation text; Annex I for sectoral scope (steel, cement, aluminium, fertilisers, electricity, hydrogen); definitive regime phase-in from 1 January 2026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utznhbqoygehhy4nzauit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CBAM Regulation (2023/956) and implementing acts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/ Official Journal of the EU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for amending acts quarterly; consolidated text updates automatically at EUR-Lex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regulation text; Annex I for sectoral scope (steel, cement, aluminium, fertilisers, electricity, hydrogen); definitive regime phase-in from 1 January 2026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kh6q3ljblxyh5f8eafrw2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CBAM scope review - chemicals inclusion status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for amending acts quarterly; consolidated text updates automatically at EUR-Lex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regulation text; Annex I for sectoral scope (steel, cement, aluminium, fertilisers, electricity, hydrogen); definitive regime phase-in from 1 January 2026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pr_v7evxvchecc3ylv_qd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CO2 emission standards for heavy-duty vehicles (Regulation 2024/1610)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CO2 reduction targets for trucks &gt;7.5t: -45% (2030), -65% (2035), -90% (2040) vs. 2019 baseline; urban buses -90% (2030), -100% (2035)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lvprrl5lrvoh-iqhvsdev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Critical Raw Materials Act - benchmarks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 5(1) for the 2030 benchmarks (10% extraction / 40% processing / 25% recycling); Chapter III for Strategic Projects; Article 11 for permit-granting: 11(1)(a) 27 months for extraction projects, 11(3) excludes the environmental impact assessment step, 11(4) allows an extension of at most six months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oefaggxfczd3sbix3rcux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Critical Raw Materials Act (Regulation 2024/1252)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 5(1) for the 2030 benchmarks (10% extraction / 40% processing / 25% recycling); Chapter III for Strategic Projects; Article 11 for permit-granting: 11(1)(a) 27 months for extraction projects, 11(3) excludes the environmental impact assessment step, 11(4) allows an extension of at most six months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wpq1qq16bx8rrz9auiyqy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ETS free allocation benchmarks - cement clinker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DG CLIMA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 (benchmark periods run in multi-year blocks; check for new implementing regulation at each period start)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Annex tables give benchmark values (allowances per tonne of product) by sector including steel hot metal, cement clinker, ammonia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00olo48gxos8qai9k5gai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ETS free allocation benchmarks - chemicals subsectors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DG CLIMA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 (benchmark periods run in multi-year blocks; check for new implementing regulation at each period start)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Annex tables give benchmark values (allowances per tonne of product) by sector including steel hot metal, cement clinker, ammonia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wg7yki1gbj7-36-fc5apu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ETS free allocation benchmarks - steel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DG CLIMA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 (benchmark periods run in multi-year blocks; check for new implementing regulation at each period start)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Annex tables give benchmark values (allowances per tonne of product) by sector including steel hot metal, cement clinker, ammonia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ebpt4e3eildeiydqtw7jh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ETS Maritime inclusion (Directive 2023/959)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Phase-in schedule: 40% of verified emissions (2024), 70% (2025), 100% (2026)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n6oqlqhra2pspbio1z21l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FuelEU Maritime Regulation (2023/1805)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GHG intensity reduction targets by year, escalating from 2025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rasg_kmzzmtb7pwy7upbw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Methane Regulation (2024/1787)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MRV obligations; import standard for non-EU suppliers applies from 2027 (Article 27)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y1kybwyrcwbzcrgiopt1j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ReFuelEU Aviation Regulation (2023/2405)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Journal of the European Union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 4 and Annex I for SAF blending mandate schedule: 2% (2025) rising to 70% (2050), including sub-mandates for synthetic (e-)fuels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zaiucmbltawoliu5_44po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REPowerEU / Fit for 55 targets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Directive (EU) 2023/2413 Article 1(2) replaces Article 3(1) of Directive (EU) 2018/2001: binding 2030 EU-wide renewable target of at least 42.5%, endeavour to reach 45%; permitting acceleration in the inserted Articles 15c (renewables acceleration areas), 16a and 16b (permit-granting inside and outside those areas)</w:t>
            </w:r>
          </w:p>
        </w:tc>
      </w:tr>
    </w:tbl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Structured API or dashboard (6)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Not automated. Despite the name, most are dashboard front-ends rather than documented REST APIs.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zm0mlgcq1vplrrrf2alc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national ETS price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Shanghai Environment and Energy Exchange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daily CEA prices are shown on the exchange's website, which returned HTTP 420 to automated requests. Daily CEA closing price; ICAP page gives narrative context on scope and allocation method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d5pkpjxmgln8okfxultnc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ETS carbon price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Energy Exchange (EEX) / European Commission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 / check at each review cycle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daily prices are shown in EEX's market-data pages, not a fetchable document. Daily EUA auction and spot price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ksa3uuanjgf8zqmdggphz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NGFS Climate Scenarios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Network for Greening the Financial System (127 central banks and supervisors), hosted by IIASA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CEM-R1, CHM-R1, PWR-R1, 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phase roughly every 12-18 months (Phase 5 released Nov 2024; short-term scenarios added May 2025)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scenario data are downloaded from the NGFS / IIASA scenario portal; ngfs.net returns 403 to automated requests. Downloadable in CSV/XLSX; gives projected carbon prices, policy phase-out dates, and macro-financial impacts under Orderly/Disorderly/Hot House World scenario families — used here to source the carbon price trajectory that the H/M/L threshold in this criterion's rubric is benchmarked against.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p-fntjr4ea5k_pr6d9yjv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National Electric Vehicle Infrastructure / DOE Alternative Fuels Data Center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Department of Energy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continuously updated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station counts come from the AFDC station locator, an interactive tool. Public charging and alternative fuel infrastructure station locator and counts, filterable by vehicle class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zstcp-3fanrmxboovaw4i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USGS Mineral Commodity Summaries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United States Geological Survey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published January/February; data-only releases also available via data.usgs.gov by commodity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Two-page synopses per mineral commodity; world production, reserves, and US import reliance tables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9hpt0mp900ljikt5wozkc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World Bank Carbon Pricing Dashboard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World Bank Group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continuous; annual report each spring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interactive dashboard, which returns 403 to automated requests; the annual State and Trends of Carbon Pricing report holds the same figures. Interactive dashboard; filter by jurisdiction and instrument type (ETS / carbon tax); underlying annual report is 'State and Trends of Carbon Pricing'</w:t>
            </w:r>
          </w:p>
        </w:tc>
      </w:tr>
    </w:tbl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Industry tracker / database (11)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Not automated. Mostly subscription or session-gated.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qgge_nenaaew6prufngiw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charging infrastructure statistics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China Electric Vehicle Charging Infrastructure Promotion Alliance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monthly, publisher updates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evcipa.org.cn returned 503; monthly statistics are posted as news items with no stable document URL. Monthly public charging infrastructure statistics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ggxyoxr9dnwu1wi_7lu3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Clarksons Research World Fleet Register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Clarksons Research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 (subscription required for full access)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the World Fleet Register needs a paid Clarksons Research account. Subscription database; new-build order book filterable by fuel type and propulsion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odpyiyoyku1lx_qsek4xi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DNV Alternative Fuels Insight platform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DNV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continuously updated by publisher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the order book is read in DNV's interactive web app, not a fetchable document. Free public dashboard tracking alternative-fuel vessel orders and bunkering infrastructure by fuel type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jxefvoarduvvaxuiyrlnp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First Movers Coalition Cement &amp; Concrete commitments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World Economic Forum / US State Department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updated at major COP/WEF events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the commitments list is drawn by a script on the page, with no fetchable document. Member company demand commitments by sector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01yarsccxu5g8hwsvxvdw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Getting to Zero Coalition Green Corridors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Maritime Forum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semi-annually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 Progress Report on Green Shipping Corridors 2025 (Global Maritime Forum / Getting to Zero Coalition): announced and active corridor initiatives with participants and maturity stage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zuaxm1wnercgvurghft41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Global CCS Institute CO2RE database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CCS Institute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continuously updated by publisher; check 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facility data are read in the Global CCS Institute's interactive CO2RE database. Filterable database of CCS/CCUS facilities by status (operational/construction/planned), sector, and region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xz4lrqmeu7e1zj7qmkd90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Global Cement and Concrete Association (GCCA) sustainability data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GCCA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GNR 2.0 data are read in GCCA's interactive GNR tool. Getting the Numbers Right (GNR) database; clinker ratio and thermal/electrical intensity by region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cncl-c-4thxuouhackibk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ICAP ETS factsheet: China National ETS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Carbon Action Partnership (ICAP)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CEM-R1, PWR-R1, 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updated with the ICAP Status Report (spring), with news items between editions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Factsheet sections on coverage (power, steel, cement and aluminium smelting after the 2025 expansion), allocation (free, output-based) and prices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wlkahgixuxwaubfytzwh8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CCUS Projects Database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continuously updated by publisher; check 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Downloadable list of CO2 capture, transport, storage and use projects by status (operational, construction, planned), sector, country and capacity; projects of at least 100 kt CO2 per year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hu6t-bvwagngcddf1hxt4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Oil and Gas Methane Partnership (OGMP 2.0) reporting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United Nations Environment Programme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unep.org returns 403 to automated requests; fetch the report page in a browser. An Eye on Methane 2025 (UNEP IMEO, 22 October 2025): OGMP 2.0 member reporting levels (Gold Standard) and share of global oil and gas production covered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xxxj9oqjf2c7f0rfrycwe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S&amp;P Global Market Intelligence - Metals &amp; Mining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Global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S&amp;P Global Market Intelligence is a paid service. Subscription service; mining equipment and production tracking</w:t>
            </w:r>
          </w:p>
        </w:tc>
      </w:tr>
    </w:tbl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Periodic PDF report (29)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Not automated. Annual PDFs where the locator field doubles as the extraction instruction.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chzghmokwontfjnkcfqhu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BloombergNEF Corporate Energy Market Outlook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BloombergNEF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varies by report series, generally 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BloombergNEF research needs a paid BloombergNEF subscription. Subscription service; specific report titles vary by year — verify current title via BNEF's published research index at each review cycle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p8v0emlsusyhl-rlrfuaw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BloombergNEF Energy Storage Outlook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BloombergNEF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varies by report series, generally 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BloombergNEF research needs a paid BloombergNEF subscription. Subscription service; specific report titles vary by year — verify current title via BNEF's published research index at each review cycle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0u-v6_ab2-xqkraudx1ed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BloombergNEF Green Steel Tracker / Premium report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BloombergNEF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varies by report series, generally 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BloombergNEF research needs a paid BloombergNEF subscription. Subscription service; specific report titles vary by year — verify current title via BNEF's published research index at each review cycle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ml9zyr5j_60tpcrdgyjc8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BloombergNEF Hydrogen Levelized Cost Report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BloombergNEF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varies by report series, generally 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Subscription: BloombergNEF research needs a paid BloombergNEF subscription. Subscription service; specific report titles vary by year — verify current title via BNEF's published research index at each review cycle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lczy0y1tmpxefyqakkqbn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IATA SAF price tracking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Air Transport Association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periodic, check 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No single document: IATA publishes SAF prices in press releases and economic reports as they come out. IATA SAF programme page; price tracking data typically published via IATA Economics reports and SAF fact sheets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k419mj8_qykoh_7c_1kqt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IATA Sustainable Aviation Fuel Fact Sheet / SAF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Air Transport Association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with interim updates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fact sheet (PDF, June 2026 edition when checked): SAF production tracker table with annual output and share of jet fuel use; cost relative to conventional jet fuel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apnivkovsit__hewj3q9g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ICCT Total Cost of Ownership analyses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Council on Clean Transportation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check for new regional TCO updates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No single document: ICCT publishes a separate TCO study per region; use the latest for each region. Search publications by 'total cost of ownership' + region; separate reports for EU, US, China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lv4t78icbstztaogb9cnv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Aviation tracking report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Aviation tracking page: activity, energy demand, emissions and sustainable aviation fuel progress against the Net Zero Scenario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rz9t6cxij5w6agla68o_4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Cement Technology Roadmap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IEA Energy System tracking page for cement sector; technology roadmap content integrated into IEA industry tracking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yeqa_bk0xyr0zaenpvp50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Critical Minerals Outlook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Sub-pages: /market-review, /outlook-for-key-minerals, /executive-summary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1ggujetdlyiyyrxa5xa-a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Critical Minerals Outlook - demand-supply gap tables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Sub-pages: /market-review, /outlook-for-key-minerals, /executive-summary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tneptcpo2t7xjtixkswh5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Energy Storage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IEA Energy System tracking page for grid-scale storage; annual data updates within IEA Electricity report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dimk3ea9xohutyq4yzmt4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Global EV Outlook - heavy-duty vehicles chapter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in spring (May in 2025)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Heavy-duty truck sections: electric truck sales by region and total cost of ownership of electric heavy-duty trucks in several markets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6ovjafm1ygdris2t6eiqp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Global Hydrogen Review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CHM-T1, STL-T1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October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Sub-pages: /hydrogen-production, /hydrogen-demand, /policies, /trade-and-infrastructure, /investment-finance-and-innovation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lmuasm6l7ern3tr-ad9k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Methane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March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/key-findings sub-page; includes IEA Methane Abatement Model (2024) for country/segment abatement cost curves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8tij5_nr7ise64f17lnqy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Renewables market report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October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/executive-summary sub-page for VRE integration phase assessment by country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j6d9hw_xlugmvro4ldxho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The Future of Petrochemicals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CHM-T1, CHM-T2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one-off report (October 2018)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2018 report on primary chemicals: production routes, feedstock and energy use by region, and the Clean Technology Scenario's technology options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kjfdqtdtdt6g0bz00034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World Energy Investment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June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Annual global and regional energy investment tracking by technology and sector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oeqfskazzkgdgxrevognv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IEA World Energy Outlook - regional demand scenarios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October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iea.org returns 403 to automated requests; fetch the page in a browser. Regional demand projections under STEPS, APS, and NZE scenarios, by fuel and sector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-x5tynw9_tqnwgtk1w0z_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IEEFA: China's emissions trading system (ETS) reforms: On track, but needs robust enforcement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Institute for Energy Economics and Financial Analysis (IEEFA)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CEM-R1, 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one-off report (3 November 2025)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ieefa.org report pages return 403 to automated requests; fetch the page in a browser. Analysis of the national ETS after the 2025 sector expansion: free allocation, the expected move to absolute caps by 2027, and auctions and a fixed cap reduction rate as missing enforcement tools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7s8licmbzutw5grkbuuc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IRENA Renewable Power Generation Costs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Renewable Energy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typically published September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Executive summary PDF gives headline LCOE figures by technology and region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v0lr_e-a_skb15ayv6z5n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Lazard Levelized Cost of Energy Analysis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Lazard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Unsubsidized LCOE ranges by technology, US-focused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y6_uxylfd5qcnxqtpe27c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Mission Possible Partnership Steel sector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Mission Possible Partnership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but publication timing is less regular than IEA/IRENA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the project list is read in MPP's interactive tracker, not a fetchable document. MPP Global Project Tracker: announced, FID and operational near-zero steel plants, updated quarterly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4j1edmcl-mhhqdxev20j6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Mission Possible Partnership Steel Transition Strategy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Mission Possible Partnership / Energy Transitions Commission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but publication timing is less regular than IEA/IRENA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Making Net-Zero Steel Possible (MPP steel transition strategy, September 2022): technology cost comparison of hydrogen DRI-EAF against BF-BOF and the hydrogen cost assumptions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3w7_yhpydt0j_jtqtvvo8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Mission Possible: Reaching Net-Zero Carbon Emissions from Harder-to-Abate Sectors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Energy Transitions Commission (ETC)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AVI-T1, CEM-T1, CHM-T1, SHP-T1, STL-T1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irregular — ETC publishes updates and sector-specific follow-ons rather than a fixed annual cycle; check publications page each review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Sector-specific technical abatement pathways for cement, steel, plastics, aviation, shipping, trucking; distinguishes proven-technology sectors from those needing further technology investment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g0vxl9gqxav3dtgdeq29q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OECD Steel Market Developments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OECD Steel Committee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semi-annual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oecd.org returns 403 to automated requests; the semi-annual report is listed on this topic page. Semi-annual OECD Steel Committee market monitoring report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fqprbp7abhllruj0srytf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RE100 Annual Report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Climate Group / CDP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 RE100 annual disclosure report (May 2025): section 4.1 procurement type mix, including recognised PPA volumes by company and market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quwwecxxcenhiuw9pymr3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Transition Asia: Steel Enters China's National Emissions Trading Scheme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Transition Asia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one-off brief (March 2025)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2: the carbon price for a zero green-steel premium at current green hydrogen prices is 890 yuan/t CO2 (about USD 124), 220 yuan/t at China's 2030 hydrogen target of USD 2.4/kg; the evidence text dates this brief September 2025, but the figure is in this March 2025 brief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e2t87kanfutnoltooij4l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World Steel Association Steel Statistical Yearbook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World Steel Association (worldsteel)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World Steel in Figures 2026 (worldsteel's free summary of the yearbook data, finalised 8 June 2026): crude steel production by process (EAF share) by country and ferrous scrap trade; scrap consumption is not in the free booklet</w:t>
            </w:r>
          </w:p>
        </w:tc>
      </w:tr>
    </w:tbl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Government agency publication (21)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Not automated. The weakest single-source reliability, especially for non-English sources.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ilzs3ix28kukd_bughlio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California Advanced Clean Fleets / Advanced Clean Trucks regulation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California Air Resources Board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 given ongoing litigation/waiver status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ZEV sales percentage requirements and fleet purchase mandates by year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yrzmamkrsarxkh3lzmvxn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industrial decarbonisation funding programmes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Development and Reform Commission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 given active expansion phase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No single document: NDRC funding runs through several programmes, and no rating has yet been checked against one. NDRC central-budget investment programmes for industrial energy saving and carbon reduction; no single programme document identified yet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j_6kburz-dzunblwn5mc5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methane control action plan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Ministry of Ecology and Environment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甲烷排放控制行动方案 (MEE and 10 other departments, November 2023): oil and gas tasks 4-6 (venting control, leak detection and repair, reducing routine flaring) and the aim of zero routine flaring in onshore oil and gas production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ni0kygqg44au3ikf9khrs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Ministry of Natural Resources mining approval process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Ministry of Natural Resources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mnr.gov.cn did not respond to requests from outside China, and approval procedures are spread over several MNR notices in Chinese, with no single document. Official ministry site; mining licence and approval procedures published in Chinese only — requires translation for non-Chinese-speaking researchers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8gkgnic6fplc9sttyhkic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national ETS sector coverage roadmap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Ministry of Ecology and Environment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CEM-R1, STL-R1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 given active expansion phase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MEE allocation plan for steel, cement and aluminium smelting, 2024 and 2025 (issued 18 November 2025), section 三 (配额计算方法): 2024 allowances equal verified 2024 emissions; 2025 allowances by sector emission-intensity balance values. The 2024-2026 start-up stage and the deepening stage from 2027 are in the MEE work plan of 26 March 2025 (mee.gov.cn W020250326367625819894.pdf).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xbd-s1da57tz6psdi2psp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NEA renewable targets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Energy Administration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PWR-R2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14th Five-Year Plan for Renewable Energy (NDRC, NEA and seven other bodies, 2021, published June 2022): 2025 targets (专栏 1) and the goal of more than 1,200 GW wind plus solar by 2030; NEA's annual and quarterly capacity statistics are released as separate news items on nea.gov.cn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rjmolqtnmdfucd2kh_baj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China NEV mandate - commercial vehicles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Ministry of Industry and Information Technology (China)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MIIT decision amending the dual-credit measures (乘用车企业平均燃料消耗量与新能源汽车积分并行管理办法), in force 1 January 2021: NEV credit ratios by year. The measures cover passenger cars (乘用车) only; no commercial-vehicle NEV credit requirement is in this text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7xx3fy9r1kivhqw-hbdbu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Green Public Procurement - construction criteria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DG ENV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criteria updated periodically per sector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 GPP criteria for office building design, construction and management (SWD(2016) 180): voluntary criteria, incl. life-cycle assessment (criterion 10.1) and declared embodied CO2 of the main building elements (criterion 8.2); other sector criteria on the GPP criteria page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jog2vqawwhkmckjfmnj8r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Green Public Procurement criteria - construction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Commission DG ENV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criteria updated periodically per sector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 GPP criteria for office building design, construction and management (SWD(2016) 180): voluntary criteria, incl. life-cycle assessment (criterion 10.1) and declared embodied CO2 of the main building elements (criterion 8.2); other sector criteria on the GPP criteria page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cjx-yh_gmwxz9ahuipytz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EU Innovation Fund award decisions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Climate, Infrastructure and Environment Executive Agency (CINEA)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call round (roughly annual)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Dashboard: awarded projects are listed in CINEA's interactive project portfolio dashboard. Award decisions by call round, searchable by sector and project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ahrk-oqwunxcauinp6m9b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ICAO CORSIA scheme status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Civil Aviation Organization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check ahead of each phase transition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icao.int returns 403 to automated requests; the CORSIA State pairs document is reissued each year. State participation list (voluntary pilot phase 2021-2026, first obligatory phase from 2027); China participation status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b8-iku_8ofaa5azakeb9l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IMO GHG Strategy implementation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Maritime Organization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ahead of each MEPC session (roughly biannual) for mid-term measures progress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Adopted resolution MEPC.377(80); checkpoints for 2030 (20-30% reduction) and 2040 (70-80% reduction) vs. 2008; net-zero 'by or around' 2050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mxrboelxamnkrs5d0g4wv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IMO Revised GHG Strategy and mid-term measures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Maritime Organization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ahead of each MEPC session (roughly biannual) for mid-term measures progress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Adopted resolution MEPC.377(80); checkpoints for 2030 (20-30% reduction) and 2040 (70-80% reduction) vs. 2008; net-zero 'by or around' 2050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4k3efwg-dljkogeoiyezs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National/state building codes register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Various national standards bodies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varies significantly by jurisdiction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No single register: building codes and their embodied-carbon rules vary by jurisdiction. No single global register — International Code Council (US) as a starting reference point; verify per-jurisdiction embodied carbon requirements via national standards bodies named in the criteria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mlqn3_amh5q8-bvpbcl1n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DOE Industrial Demonstrations Program awards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Department of Energy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 for continuity under current administration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Awarded projects list by sector including cement, steel, chemicals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opdoeaijqgdfatsrz3jtd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EPA Heavy-Duty Phase 3 GHG standards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Environmental Protection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HDT-R1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 given litigation risk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Final rule, 89 FR 29440 (22 April 2024): CO2 standards for heavy-duty vehicles, model years 2027-2032. Repealed with all vehicle GHG standards by 91 FR 7686 (18 February 2026, effective 20 April 2026, FR doc 2026-03157)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j7k-yhtjz8dmldngsyozq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EPA Methane Emissions Reduction Program / Waste Emissions Charge (IRA)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Environmental Protection Agency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OGU-R1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EPA notice (90 FR 21225, 19 May 2025) removing the 2024 WEC implementing rule after the Congressional Review Act joint resolution (H.J.Res.35, P.L. 119-2, signed 14 March 2025) nullified it. The charge itself is delayed by P.L. 119-21 section 60012(b), which replaces 'calendar year 2024' with 'calendar year 2034' in Clean Air Act section 136(g); the underlying statutory obligation remains.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kowvurxifxqiuokpkugui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Federal Buy Clean Initiative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General Services Administration / EPA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monitor for continuity under current administration priorities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Biden-era progress report on the Federal Buy Clean Initiative (low-embodied-carbon material purchases by GSA, FHWA and EPA); EO 14057, which set up Buy Clean, was rescinded in January 2025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g2jn12saiggec5vi80zyz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Fixing America's Surface Transportation Act / permitting reform tracker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Department of Interior / Congressional Research Service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 given active legislative attention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congress.gov returns 403 to automated requests, and the tracker spans several bills and the Permitting Council dashboard. Track federal permitting reform legislation via Congress.gov; also monitor Federal Permitting Improvement Steering Council dashboard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akkf9pg8gvqoynlentdew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Inflation Reduction Act Section 30D critical minerals requirements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Internal Revenue Service / US Treasury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MIN-R2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 closely — credit status changed materially in 2025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 minerals sourcing thresholds under Section 30D(e); FEOC exclusion rules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uirswryd429mfdyl362_p">
              <w:r>
                <w:rPr>
                  <w:rFonts w:ascii="Calibri" w:cs="Calibri" w:eastAsia="Calibri" w:hAnsi="Calibri"/>
                  <w:color w:val="2A4FB7"/>
                  <w:sz w:val="17"/>
                  <w:szCs w:val="17"/>
                  <w:u w:val="single"/>
                </w:rPr>
                <w:t xml:space="preserve">US SAF Grand Challenge / IRA 40B tax credit</w:t>
              </w:r>
            </w:hyperlink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Department of Energy / US Treasury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AVI-R1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annual, monitor for continuity under current administration priorities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SAF Grand Challenge Roadmap (DOE, September 2022): the goals of 3 billion gallons of SAF per year by 2030 and 35 billion by 2050, a volume goal rather than a blending mandate. The IRA section 40B SAF credit is Treasury/IRS guidance and is not in this document.</w:t>
            </w:r>
          </w:p>
        </w:tc>
      </w:tr>
    </w:tbl>
    <w:p>
      <w:pPr>
        <w:pStyle w:val="Heading2"/>
        <w:spacing w:after="60" w:before="220"/>
      </w:pPr>
      <w:r>
        <w:rPr>
          <w:rFonts w:ascii="Calibri" w:cs="Calibri" w:eastAsia="Calibri" w:hAnsi="Calibri"/>
          <w:sz w:val="20"/>
          <w:szCs w:val="20"/>
        </w:rPr>
        <w:t xml:space="preserve">Company disclosure (7)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6E"/>
          <w:sz w:val="20"/>
          <w:szCs w:val="20"/>
        </w:rPr>
        <w:t xml:space="preserve">Deliberately never auto-extracted — discovery and triage only. These are the 7 sources with no fixed URL, since which company matters depends on who is being assessed.</w:t>
      </w:r>
    </w:p>
    <w:tbl>
      <w:tblPr>
        <w:tblW w:type="dxa" w:w="15398"/>
        <w:tblBorders>
          <w:top w:val="single" w:color="C9C9D4" w:sz="2"/>
          <w:left w:val="single" w:color="C9C9D4" w:sz="2"/>
          <w:bottom w:val="single" w:color="C9C9D4" w:sz="2"/>
          <w:right w:val="single" w:color="C9C9D4" w:sz="2"/>
          <w:insideH w:val="single" w:color="DEDEE6" w:sz="2"/>
          <w:insideV w:val="single" w:color="DEDEE6" w:sz="2"/>
        </w:tblBorders>
      </w:tblPr>
      <w:tblGrid>
        <w:gridCol w:w="3600"/>
        <w:gridCol w:w="2600"/>
        <w:gridCol w:w="1900"/>
        <w:gridCol w:w="2100"/>
        <w:gridCol w:w="5198"/>
      </w:tblGrid>
      <w:tr>
        <w:trPr>
          <w:tblHeader/>
        </w:trPr>
        <w:tc>
          <w:tcPr>
            <w:tcW w:type="dxa" w:w="3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6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100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 cadence</w:t>
            </w:r>
          </w:p>
        </w:tc>
        <w:tc>
          <w:tcPr>
            <w:tcW w:type="dxa" w:w="5198"/>
            <w:shd w:fill="3B2F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Airlines and SAF producers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Maersk, cargo owner coalitions (coZEV)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SHP-D1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investor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Individual cement producers (e.g. Heidelberg Materials, Holcim)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CEM-D1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investor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Individual miners (e.g. Freeport-McMoRan, Albemarle)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investor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Individual steelmakers (annual reports, capital markets days)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STL-D1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investor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Maersk, Yara, OCI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CHM-D1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Company/consortium technical disclosures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BASF/SABIC/Linde electric cracker pilot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CHM-T2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company reporting cycle (typically annual, some quarterly)</w:t>
            </w:r>
          </w:p>
        </w:tc>
        <w:tc>
          <w:tcPr>
            <w:tcW w:type="dxa" w:w="51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Manual: Company disclosure: no single URL; which companies matter depends on who is assessed. No single URL — retrieve from the specific company's investor relations page (annual report, capital markets day materials, or sustainability report). Identify relevant companies via sector leaders named in Mission Possible Partnership / BloombergNEF sector trackers, then search each company's IR site directly. This is the source type flagged in the Automation Pipeline Design Document (Section 5.6) as requiring discovery-and-triage rather than single-URL retrieval.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Known data issues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Recorded rather than silently patched, so a reader can judge what still needs a human.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102 criterion-source links dedupe to 89 registry entries. The registry keeps per-criterion duplicates for company disclosures rather than sharing one key.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Source count corrected from 7 to 6 for structured_api_or_dashboard. The original notes claimed 7 and named an LSE_Grantham_CCLW entry that does not exist in the registry.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Criterion codes normalised to hyphens. Shipping originally used underscores (SHP_T1); all 35 now match the same pattern, pinned by a schema constraint and a test.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7 of 102 source entries carry no URL. These are the company_disclosure entries, which correctly record a retrieval methodology instead.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3B2F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B2B3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tuy8yazniisfw-lzsw67" Type="http://schemas.openxmlformats.org/officeDocument/2006/relationships/hyperlink" Target="https://eur-lex.europa.eu/eli/reg/2023/1804/2026-01-08/eng" TargetMode="External"/><Relationship Id="rIdikufqyzhudfbji1wv_sft" Type="http://schemas.openxmlformats.org/officeDocument/2006/relationships/hyperlink" Target="https://eur-lex.europa.eu/eli/reg/2023/956/oj/eng" TargetMode="External"/><Relationship Id="rIdutznhbqoygehhy4nzauit" Type="http://schemas.openxmlformats.org/officeDocument/2006/relationships/hyperlink" Target="https://eur-lex.europa.eu/eli/reg/2023/956/oj/eng" TargetMode="External"/><Relationship Id="rIdkh6q3ljblxyh5f8eafrw2" Type="http://schemas.openxmlformats.org/officeDocument/2006/relationships/hyperlink" Target="https://eur-lex.europa.eu/eli/reg/2023/956/oj/eng" TargetMode="External"/><Relationship Id="rIdpr_v7evxvchecc3ylv_qd" Type="http://schemas.openxmlformats.org/officeDocument/2006/relationships/hyperlink" Target="https://eur-lex.europa.eu/eli/reg/2024/1610/oj" TargetMode="External"/><Relationship Id="rIdlvprrl5lrvoh-iqhvsdev" Type="http://schemas.openxmlformats.org/officeDocument/2006/relationships/hyperlink" Target="https://eur-lex.europa.eu/eli/reg/2024/1252/2024-05-03/eng" TargetMode="External"/><Relationship Id="rIdoefaggxfczd3sbix3rcux" Type="http://schemas.openxmlformats.org/officeDocument/2006/relationships/hyperlink" Target="https://eur-lex.europa.eu/eli/reg/2024/1252/2024-05-03/eng" TargetMode="External"/><Relationship Id="rIdwpq1qq16bx8rrz9auiyqy" Type="http://schemas.openxmlformats.org/officeDocument/2006/relationships/hyperlink" Target="https://eur-lex.europa.eu/eli/reg_impl/2021/447/2026-03-18/eng" TargetMode="External"/><Relationship Id="rId00olo48gxos8qai9k5gai" Type="http://schemas.openxmlformats.org/officeDocument/2006/relationships/hyperlink" Target="https://eur-lex.europa.eu/eli/reg_impl/2021/447/2026-03-18/eng" TargetMode="External"/><Relationship Id="rIdwg7yki1gbj7-36-fc5apu" Type="http://schemas.openxmlformats.org/officeDocument/2006/relationships/hyperlink" Target="https://eur-lex.europa.eu/eli/reg_impl/2021/447/2026-03-18/eng" TargetMode="External"/><Relationship Id="rIdebpt4e3eildeiydqtw7jh" Type="http://schemas.openxmlformats.org/officeDocument/2006/relationships/hyperlink" Target="https://eur-lex.europa.eu/eli/dir/2023/959/oj" TargetMode="External"/><Relationship Id="rIdn6oqlqhra2pspbio1z21l" Type="http://schemas.openxmlformats.org/officeDocument/2006/relationships/hyperlink" Target="https://eur-lex.europa.eu/eli/reg/2023/1805/oj/eng" TargetMode="External"/><Relationship Id="rIdrasg_kmzzmtb7pwy7upbw" Type="http://schemas.openxmlformats.org/officeDocument/2006/relationships/hyperlink" Target="https://eur-lex.europa.eu/eli/reg/2024/1787/oj/eng" TargetMode="External"/><Relationship Id="rIdy1kybwyrcwbzcrgiopt1j" Type="http://schemas.openxmlformats.org/officeDocument/2006/relationships/hyperlink" Target="https://eur-lex.europa.eu/eli/reg/2023/2405/oj" TargetMode="External"/><Relationship Id="rIdzaiucmbltawoliu5_44po" Type="http://schemas.openxmlformats.org/officeDocument/2006/relationships/hyperlink" Target="https://eur-lex.europa.eu/eli/dir/2023/2413/oj/eng" TargetMode="External"/><Relationship Id="rIdzm0mlgcq1vplrrrf2alcf" Type="http://schemas.openxmlformats.org/officeDocument/2006/relationships/hyperlink" Target="https://www.cneeex.com/" TargetMode="External"/><Relationship Id="rIdd5pkpjxmgln8okfxultnc" Type="http://schemas.openxmlformats.org/officeDocument/2006/relationships/hyperlink" Target="https://www.eex.com/en/market-data/environmental-markets/spot-market" TargetMode="External"/><Relationship Id="rIdksa3uuanjgf8zqmdggphz" Type="http://schemas.openxmlformats.org/officeDocument/2006/relationships/hyperlink" Target="https://www.ngfs.net/ngfs-scenarios-portal/data-resources/" TargetMode="External"/><Relationship Id="rIdp-fntjr4ea5k_pr6d9yjv" Type="http://schemas.openxmlformats.org/officeDocument/2006/relationships/hyperlink" Target="https://afdc.energy.gov/" TargetMode="External"/><Relationship Id="rIdzstcp-3fanrmxboovaw4i" Type="http://schemas.openxmlformats.org/officeDocument/2006/relationships/hyperlink" Target="https://pubs.usgs.gov/periodicals/mcs2025/mcs2025.pdf" TargetMode="External"/><Relationship Id="rId9hpt0mp900ljikt5wozkc" Type="http://schemas.openxmlformats.org/officeDocument/2006/relationships/hyperlink" Target="https://carbonpricingdashboard.worldbank.org/" TargetMode="External"/><Relationship Id="rIdqgge_nenaaew6prufngiw" Type="http://schemas.openxmlformats.org/officeDocument/2006/relationships/hyperlink" Target="http://www.evcipa.org.cn/" TargetMode="External"/><Relationship Id="rIdggxyoxr9dnwu1wi_7lu3f" Type="http://schemas.openxmlformats.org/officeDocument/2006/relationships/hyperlink" Target="https://www.clarksons.net/wfr/" TargetMode="External"/><Relationship Id="rIdodpyiyoyku1lx_qsek4xi" Type="http://schemas.openxmlformats.org/officeDocument/2006/relationships/hyperlink" Target="https://afi.dnv.com/" TargetMode="External"/><Relationship Id="rIdjxefvoarduvvaxuiyrlnp" Type="http://schemas.openxmlformats.org/officeDocument/2006/relationships/hyperlink" Target="https://initiatives.weforum.org/first-movers-coalition/commitments" TargetMode="External"/><Relationship Id="rId01yarsccxu5g8hwsvxvdw" Type="http://schemas.openxmlformats.org/officeDocument/2006/relationships/hyperlink" Target="https://assets.ctfassets.net/gk3lrimlph5v/7zsVf5G9wzNPhEjFPjCrFC/f2918a81c76b734952c6ed4024ef42d9/Annual_progress_report_on_green_shipping_corridors_2025.pdf" TargetMode="External"/><Relationship Id="rIdzuaxm1wnercgvurghft41" Type="http://schemas.openxmlformats.org/officeDocument/2006/relationships/hyperlink" Target="https://co2re.co/FacilityData" TargetMode="External"/><Relationship Id="rIdxz4lrqmeu7e1zj7qmkd90" Type="http://schemas.openxmlformats.org/officeDocument/2006/relationships/hyperlink" Target="https://gccassociation.org/gnr/" TargetMode="External"/><Relationship Id="rIdcncl-c-4thxuouhackibk" Type="http://schemas.openxmlformats.org/officeDocument/2006/relationships/hyperlink" Target="https://icapcarbonaction.com/en/ets/china-national-ets" TargetMode="External"/><Relationship Id="rIdwlkahgixuxwaubfytzwh8" Type="http://schemas.openxmlformats.org/officeDocument/2006/relationships/hyperlink" Target="https://www.iea.org/data-and-statistics/data-product/ccus-projects-database" TargetMode="External"/><Relationship Id="rIdhu6t-bvwagngcddf1hxt4" Type="http://schemas.openxmlformats.org/officeDocument/2006/relationships/hyperlink" Target="https://www.unep.org/resources/eye-methane-2025" TargetMode="External"/><Relationship Id="rIdxxxj9oqjf2c7f0rfrycwe" Type="http://schemas.openxmlformats.org/officeDocument/2006/relationships/hyperlink" Target="https://www.spglobal.com/marketintelligence/en/sector/metals-mining" TargetMode="External"/><Relationship Id="rIdchzghmokwontfjnkcfqhu" Type="http://schemas.openxmlformats.org/officeDocument/2006/relationships/hyperlink" Target="https://about.bnef.com/" TargetMode="External"/><Relationship Id="rIdp8v0emlsusyhl-rlrfuaw" Type="http://schemas.openxmlformats.org/officeDocument/2006/relationships/hyperlink" Target="https://about.bnef.com/" TargetMode="External"/><Relationship Id="rId0u-v6_ab2-xqkraudx1ed" Type="http://schemas.openxmlformats.org/officeDocument/2006/relationships/hyperlink" Target="https://about.bnef.com/" TargetMode="External"/><Relationship Id="rIdml9zyr5j_60tpcrdgyjc8" Type="http://schemas.openxmlformats.org/officeDocument/2006/relationships/hyperlink" Target="https://about.bnef.com/" TargetMode="External"/><Relationship Id="rIdlczy0y1tmpxefyqakkqbn" Type="http://schemas.openxmlformats.org/officeDocument/2006/relationships/hyperlink" Target="https://www.iata.org/en/programs/environment/sustainable-aviation-fuels/" TargetMode="External"/><Relationship Id="rIdk419mj8_qykoh_7c_1kqt" Type="http://schemas.openxmlformats.org/officeDocument/2006/relationships/hyperlink" Target="https://www.iata.org/en/iata-repository/pressroom/fact-sheets/fact-sheet-sustainable-aviation-fuels/" TargetMode="External"/><Relationship Id="rIdapnivkovsit__hewj3q9g" Type="http://schemas.openxmlformats.org/officeDocument/2006/relationships/hyperlink" Target="https://theicct.org/publications/" TargetMode="External"/><Relationship Id="rIdlv4t78icbstztaogb9cnv" Type="http://schemas.openxmlformats.org/officeDocument/2006/relationships/hyperlink" Target="https://www.iea.org/energy-system/transport/aviation" TargetMode="External"/><Relationship Id="rIdrz9t6cxij5w6agla68o_4" Type="http://schemas.openxmlformats.org/officeDocument/2006/relationships/hyperlink" Target="https://www.iea.org/energy-system/industry/cement" TargetMode="External"/><Relationship Id="rIdyeqa_bk0xyr0zaenpvp50" Type="http://schemas.openxmlformats.org/officeDocument/2006/relationships/hyperlink" Target="https://www.iea.org/reports/global-critical-minerals-outlook-2024" TargetMode="External"/><Relationship Id="rId1ggujetdlyiyyrxa5xa-a" Type="http://schemas.openxmlformats.org/officeDocument/2006/relationships/hyperlink" Target="https://www.iea.org/reports/global-critical-minerals-outlook-2024" TargetMode="External"/><Relationship Id="rIdtneptcpo2t7xjtixkswh5" Type="http://schemas.openxmlformats.org/officeDocument/2006/relationships/hyperlink" Target="https://www.iea.org/energy-system/electricity/grid-scale-storage" TargetMode="External"/><Relationship Id="rIddimk3ea9xohutyq4yzmt4" Type="http://schemas.openxmlformats.org/officeDocument/2006/relationships/hyperlink" Target="https://www.iea.org/reports/global-ev-outlook-2025" TargetMode="External"/><Relationship Id="rId6ovjafm1ygdris2t6eiqp" Type="http://schemas.openxmlformats.org/officeDocument/2006/relationships/hyperlink" Target="https://www.iea.org/reports/global-hydrogen-review-2024" TargetMode="External"/><Relationship Id="rIdlmuasm6l7ern3tr-ad9kf" Type="http://schemas.openxmlformats.org/officeDocument/2006/relationships/hyperlink" Target="https://www.iea.org/reports/global-methane-tracker-2025" TargetMode="External"/><Relationship Id="rId8tij5_nr7ise64f17lnqy" Type="http://schemas.openxmlformats.org/officeDocument/2006/relationships/hyperlink" Target="https://www.iea.org/reports/renewables-2024" TargetMode="External"/><Relationship Id="rIdj6d9hw_xlugmvro4ldxho" Type="http://schemas.openxmlformats.org/officeDocument/2006/relationships/hyperlink" Target="https://www.iea.org/reports/the-future-of-petrochemicals" TargetMode="External"/><Relationship Id="rIdkjfdqtdtdt6g0bz00034f" Type="http://schemas.openxmlformats.org/officeDocument/2006/relationships/hyperlink" Target="https://www.iea.org/reports/world-energy-investment-2025" TargetMode="External"/><Relationship Id="rIdoeqfskazzkgdgxrevognv" Type="http://schemas.openxmlformats.org/officeDocument/2006/relationships/hyperlink" Target="https://www.iea.org/reports/world-energy-outlook-2024" TargetMode="External"/><Relationship Id="rId-x5tynw9_tqnwgtk1w0z_" Type="http://schemas.openxmlformats.org/officeDocument/2006/relationships/hyperlink" Target="https://ieefa.org/resources/chinas-emissions-trading-system-ets-reforms-track-needs-robust-enforcement" TargetMode="External"/><Relationship Id="rId7s8licmbzutw5grkbuucf" Type="http://schemas.openxmlformats.org/officeDocument/2006/relationships/hyperlink" Target="https://www.irena.org/-/media/Files/IRENA/Agency/Publication/2024/Sep/IRENA_Renewable_power_generation_costs_in_2023.pdf" TargetMode="External"/><Relationship Id="rIdv0lr_e-a_skb15ayv6z5n" Type="http://schemas.openxmlformats.org/officeDocument/2006/relationships/hyperlink" Target="https://www.lazard.com/media/kcfconhf/lazards-lcoeplus_vf.pdf" TargetMode="External"/><Relationship Id="rIdy6_uxylfd5qcnxqtpe27c" Type="http://schemas.openxmlformats.org/officeDocument/2006/relationships/hyperlink" Target="https://missionpossiblepartnership.org/tracker" TargetMode="External"/><Relationship Id="rId4j1edmcl-mhhqdxev20j6" Type="http://schemas.openxmlformats.org/officeDocument/2006/relationships/hyperlink" Target="https://www.energy-transitions.org/wp-content/uploads/2022/09/Making-Net-Zero-Steel-possible.pdf" TargetMode="External"/><Relationship Id="rId3w7_yhpydt0j_jtqtvvo8" Type="http://schemas.openxmlformats.org/officeDocument/2006/relationships/hyperlink" Target="https://www.energy-transitions.org/wp-content/uploads/2020/08/ETC_MissionPossible_FullReport.pdf" TargetMode="External"/><Relationship Id="rIdg0vxl9gqxav3dtgdeq29q" Type="http://schemas.openxmlformats.org/officeDocument/2006/relationships/hyperlink" Target="https://www.oecd.org/en/topics/sub-issues/steel-market-developments.html" TargetMode="External"/><Relationship Id="rIdfqprbp7abhllruj0srytf" Type="http://schemas.openxmlformats.org/officeDocument/2006/relationships/hyperlink" Target="https://www.theclimategroup.org/hubfs/2024%20RE100%20Annual%20disclosure%20report%20(3)%20(1).pdf" TargetMode="External"/><Relationship Id="rIdquwwecxxcenhiuw9pymr3" Type="http://schemas.openxmlformats.org/officeDocument/2006/relationships/hyperlink" Target="https://transitionasia.org/wp-content/uploads/2025/03/EN_Steel-Enters-China-ETS.pdf" TargetMode="External"/><Relationship Id="rIde2t87kanfutnoltooij4l" Type="http://schemas.openxmlformats.org/officeDocument/2006/relationships/hyperlink" Target="https://worldsteel.org/wp-content/uploads/World-Steel-in-Figures-2026.pdf" TargetMode="External"/><Relationship Id="rIdilzs3ix28kukd_bughlio" Type="http://schemas.openxmlformats.org/officeDocument/2006/relationships/hyperlink" Target="https://ww2.arb.ca.gov/our-work/programs/advanced-clean-fleets" TargetMode="External"/><Relationship Id="rIdyrzmamkrsarxkh3lzmvxn" Type="http://schemas.openxmlformats.org/officeDocument/2006/relationships/hyperlink" Target="https://www.ndrc.gov.cn/" TargetMode="External"/><Relationship Id="rIdj_6kburz-dzunblwn5mc5" Type="http://schemas.openxmlformats.org/officeDocument/2006/relationships/hyperlink" Target="https://www.mee.gov.cn/xxgk2018/xxgk/xxgk03/202311/W020231107750707766959.pdf" TargetMode="External"/><Relationship Id="rIdni0kygqg44au3ikf9khrs" Type="http://schemas.openxmlformats.org/officeDocument/2006/relationships/hyperlink" Target="https://www.mnr.gov.cn/" TargetMode="External"/><Relationship Id="rId8gkgnic6fplc9sttyhkic" Type="http://schemas.openxmlformats.org/officeDocument/2006/relationships/hyperlink" Target="https://www.mee.gov.cn/xxgk2018/xxgk/xxgk03/202511/W020251118634892868994.pdf" TargetMode="External"/><Relationship Id="rIdxbd-s1da57tz6psdi2psp" Type="http://schemas.openxmlformats.org/officeDocument/2006/relationships/hyperlink" Target="https://www.ndrc.gov.cn/xxgk/zcfb/ghwb/202206/P020220602315308557623.pdf" TargetMode="External"/><Relationship Id="rIdrjmolqtnmdfucd2kh_baj" Type="http://schemas.openxmlformats.org/officeDocument/2006/relationships/hyperlink" Target="https://www.gov.cn/zhengce/zhengceku/2020-06/22/content_5521144.htm" TargetMode="External"/><Relationship Id="rId7xx3fy9r1kivhqw-hbdbu" Type="http://schemas.openxmlformats.org/officeDocument/2006/relationships/hyperlink" Target="https://circabc.europa.eu/rest/download/862af61d-a410-4baa-a7b9-22273623db57" TargetMode="External"/><Relationship Id="rIdjog2vqawwhkmckjfmnj8r" Type="http://schemas.openxmlformats.org/officeDocument/2006/relationships/hyperlink" Target="https://circabc.europa.eu/rest/download/862af61d-a410-4baa-a7b9-22273623db57" TargetMode="External"/><Relationship Id="rIdcjx-yh_gmwxz9ahuipytz" Type="http://schemas.openxmlformats.org/officeDocument/2006/relationships/hyperlink" Target="https://cinea.ec.europa.eu/programmes/innovation-fund/innovation-fund-project-portfolio-dashboard_en" TargetMode="External"/><Relationship Id="rIdahrk-oqwunxcauinp6m9b" Type="http://schemas.openxmlformats.org/officeDocument/2006/relationships/hyperlink" Target="https://www.icao.int/corsia-state-pairs" TargetMode="External"/><Relationship Id="rIdb8-iku_8ofaa5azakeb9l" Type="http://schemas.openxmlformats.org/officeDocument/2006/relationships/hyperlink" Target="https://www.imo.org/en/OurWork/Environment/Pages/2023-IMO-Strategy-on-Reduction-of-GHG-Emissions-from-Ships.aspx" TargetMode="External"/><Relationship Id="rIdmxrboelxamnkrs5d0g4wv" Type="http://schemas.openxmlformats.org/officeDocument/2006/relationships/hyperlink" Target="https://www.imo.org/en/OurWork/Environment/Pages/2023-IMO-Strategy-on-Reduction-of-GHG-Emissions-from-Ships.aspx" TargetMode="External"/><Relationship Id="rId4k3efwg-dljkogeoiyezs" Type="http://schemas.openxmlformats.org/officeDocument/2006/relationships/hyperlink" Target="https://www.iccsafe.org/" TargetMode="External"/><Relationship Id="rIdmlqn3_amh5q8-bvpbcl1n" Type="http://schemas.openxmlformats.org/officeDocument/2006/relationships/hyperlink" Target="https://www.energy.gov/oced/industrial-demonstrations-program" TargetMode="External"/><Relationship Id="rIdopdoeaijqgdfatsrz3jtd" Type="http://schemas.openxmlformats.org/officeDocument/2006/relationships/hyperlink" Target="https://www.federalregister.gov/documents/2024/04/22/2024-06809/greenhouse-gas-emissions-standards-for-heavy-duty-vehicles-phase-3" TargetMode="External"/><Relationship Id="rIdj7k-yhtjz8dmldngsyozq" Type="http://schemas.openxmlformats.org/officeDocument/2006/relationships/hyperlink" Target="https://www.federalregister.gov/documents/2025/05/19/2025-08688/congressional-review-act-revocation-of-waste-emissions-charge-for-petroleum-and-natural-gas-systems" TargetMode="External"/><Relationship Id="rIdkowvurxifxqiuokpkugui" Type="http://schemas.openxmlformats.org/officeDocument/2006/relationships/hyperlink" Target="https://sustainability.gov/pdfs/federal-buy-clean-initiative_progress-and-path-forward.pdf" TargetMode="External"/><Relationship Id="rIdg2jn12saiggec5vi80zyz" Type="http://schemas.openxmlformats.org/officeDocument/2006/relationships/hyperlink" Target="https://www.congress.gov/bill/118th-congress/house-bill/1" TargetMode="External"/><Relationship Id="rIdakkf9pg8gvqoynlentdew" Type="http://schemas.openxmlformats.org/officeDocument/2006/relationships/hyperlink" Target="https://www.energy.gov/mesc/30d-new-clean-vehicle-credit" TargetMode="External"/><Relationship Id="rIduirswryd429mfdyl362_p" Type="http://schemas.openxmlformats.org/officeDocument/2006/relationships/hyperlink" Target="https://www.energy.gov/sites/default/files/2022-09/beto-saf-gc-roadmap-report-sept-2022.pdf" TargetMode="External"/><Relationship Id="rId8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Barrier Assessment</dc:title>
  <dc:creator>Agentic Research Pipeline</dc:creator>
  <dc:description>105-cell sector x region transition-feasibility matrix: 35 criteria x EU/US/China, with 89 verified sources.</dc:description>
  <cp:lastModifiedBy>Un-named</cp:lastModifiedBy>
  <cp:revision>1</cp:revision>
  <dcterms:created xsi:type="dcterms:W3CDTF">2026-10-18T13:00:08.732Z</dcterms:created>
  <dcterms:modified xsi:type="dcterms:W3CDTF">2026-10-18T13:00:08.733Z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