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line="282" w:lineRule="auto"/>
        <w:jc w:val="both"/>
      </w:pPr>
      <w:r>
        <w:rPr>
          <w:rFonts w:ascii="Calibri" w:cs="Calibri" w:eastAsia="Calibri" w:hAnsi="Calibri"/>
          <w:b w:val="false"/>
          <w:bCs w:val="false"/>
          <w:i w:val="false"/>
          <w:iCs w:val="false"/>
          <w:caps w:val="false"/>
          <w:color w:val="334155"/>
          <w:sz w:val="22"/>
          <w:szCs w:val="22"/>
        </w:rPr>
        <w:t xml:space="preserve"/>
      </w:r>
    </w:p>
    <w:p>
      <w:pPr>
        <w:spacing w:after="90" w:before="0" w:line="282" w:lineRule="auto"/>
        <w:jc w:val="both"/>
      </w:pPr>
      <w:r>
        <w:rPr>
          <w:rFonts w:ascii="Calibri" w:cs="Calibri" w:eastAsia="Calibri" w:hAnsi="Calibri"/>
          <w:b w:val="false"/>
          <w:bCs w:val="false"/>
          <w:i w:val="false"/>
          <w:iCs w:val="false"/>
          <w:caps/>
          <w:color w:val="0F5132"/>
          <w:spacing w:val="55"/>
          <w:sz w:val="17"/>
          <w:szCs w:val="17"/>
        </w:rPr>
        <w:t xml:space="preserve">DESIGN DOCUMENT  ·  CLTI DIMENSION 1  ·  TRANSITION FEASIBILITY</w:t>
      </w:r>
    </w:p>
    <w:p>
      <w:pPr>
        <w:spacing w:after="60" w:before="0" w:line="282" w:lineRule="auto"/>
        <w:jc w:val="both"/>
      </w:pPr>
      <w:r>
        <w:rPr>
          <w:rFonts w:ascii="Calibri" w:cs="Calibri" w:eastAsia="Calibri" w:hAnsi="Calibri"/>
          <w:b/>
          <w:bCs/>
          <w:i w:val="false"/>
          <w:iCs w:val="false"/>
          <w:caps w:val="false"/>
          <w:color w:val="0D2137"/>
          <w:sz w:val="48"/>
          <w:szCs w:val="48"/>
        </w:rPr>
        <w:t xml:space="preserve">Transition Barrier Assessment</w:t>
      </w:r>
    </w:p>
    <w:p>
      <w:pPr>
        <w:spacing w:after="320" w:before="0" w:line="282" w:lineRule="auto"/>
        <w:jc w:val="both"/>
      </w:pPr>
      <w:r>
        <w:rPr>
          <w:rFonts w:ascii="Calibri" w:cs="Calibri" w:eastAsia="Calibri" w:hAnsi="Calibri"/>
          <w:b w:val="false"/>
          <w:bCs w:val="false"/>
          <w:i/>
          <w:iCs/>
          <w:caps w:val="false"/>
          <w:color w:val="64748B"/>
          <w:sz w:val="26"/>
          <w:szCs w:val="26"/>
        </w:rPr>
        <w:t xml:space="preserve">Automation Pipeline Design Document</w:t>
      </w:r>
    </w:p>
    <w:tbl>
      <w:tblPr>
        <w:tblW w:type="dxa" w:w="9186"/>
        <w:tblBorders>
          <w:top w:val="none"/>
          <w:left w:val="none"/>
          <w:bottom w:val="none"/>
          <w:right w:val="none"/>
          <w:insideH w:val="single" w:color="auto" w:sz="4"/>
          <w:insideV w:val="single" w:color="auto" w:sz="4"/>
        </w:tblBorders>
      </w:tblPr>
      <w:tblGrid>
        <w:gridCol w:w="9186"/>
      </w:tblGrid>
      <w:tr>
        <w:tc>
          <w:tcPr>
            <w:tcW w:type="dxa" w:w="9186"/>
            <w:tcBorders>
              <w:top w:val="single" w:color="0F5132" w:sz="6"/>
              <w:left w:val="none"/>
              <w:bottom w:val="none"/>
              <w:right w:val="none"/>
            </w:tcBorders>
            <w:shd w:fill="FFFFFF" w:val="clear"/>
          </w:tcPr>
          <w:p>
            <w:pPr>
              <w:spacing w:after="0" w:before="0"/>
            </w:pPr>
          </w:p>
        </w:tc>
      </w:tr>
    </w:tbl>
    <w:p>
      <w:pPr>
        <w:spacing w:after="140" w:before="0" w:line="282" w:lineRule="auto"/>
        <w:jc w:val="both"/>
      </w:pPr>
      <w:r>
        <w:rPr>
          <w:rFonts w:ascii="Calibri" w:cs="Calibri" w:eastAsia="Calibri" w:hAnsi="Calibri"/>
          <w:b w:val="false"/>
          <w:bCs w:val="false"/>
          <w:i w:val="false"/>
          <w:iCs w:val="false"/>
          <w:caps w:val="false"/>
          <w:color w:val="334155"/>
          <w:sz w:val="22"/>
          <w:szCs w:val="22"/>
        </w:rPr>
        <w:t xml:space="preserve"/>
      </w:r>
    </w:p>
    <w:p>
      <w:pPr>
        <w:spacing w:after="220" w:before="0" w:line="282" w:lineRule="auto"/>
        <w:jc w:val="both"/>
      </w:pPr>
      <w:r>
        <w:rPr>
          <w:rFonts w:ascii="Calibri" w:cs="Calibri" w:eastAsia="Calibri" w:hAnsi="Calibri"/>
          <w:b/>
          <w:bCs/>
          <w:i w:val="false"/>
          <w:iCs w:val="false"/>
          <w:caps w:val="false"/>
          <w:color w:val="0D2137"/>
          <w:sz w:val="20"/>
          <w:szCs w:val="20"/>
        </w:rPr>
        <w:t xml:space="preserve">Purpose:  </w:t>
      </w:r>
      <w:r>
        <w:rPr>
          <w:rFonts w:ascii="Calibri" w:cs="Calibri" w:eastAsia="Calibri" w:hAnsi="Calibri"/>
          <w:b w:val="false"/>
          <w:bCs w:val="false"/>
          <w:i w:val="false"/>
          <w:iCs w:val="false"/>
          <w:caps w:val="false"/>
          <w:color w:val="334155"/>
          <w:sz w:val="20"/>
          <w:szCs w:val="20"/>
        </w:rPr>
        <w:t xml:space="preserve">This document specifies how the manual research process used to build the current 105-cell transition feasibility baseline can be progressively automated. It defines the pipeline architecture, the agent roles, the source-handling logic, and a phased rollout — because the 52 authoritative sources behind this assessment do not share a common format, and no single scraper or API call reaches all of them.</w:t>
      </w:r>
    </w:p>
    <w:p>
      <w:pPr>
        <w:spacing w:after="180" w:before="0" w:line="282" w:lineRule="auto"/>
        <w:jc w:val="both"/>
      </w:pPr>
      <w:r>
        <w:rPr>
          <w:rFonts w:ascii="Calibri" w:cs="Calibri" w:eastAsia="Calibri" w:hAnsi="Calibri"/>
          <w:b/>
          <w:bCs/>
          <w:i w:val="false"/>
          <w:iCs w:val="false"/>
          <w:caps w:val="false"/>
          <w:color w:val="0D2137"/>
          <w:sz w:val="20"/>
          <w:szCs w:val="20"/>
        </w:rPr>
        <w:t xml:space="preserve">Companion documents:  </w:t>
      </w:r>
      <w:r>
        <w:rPr>
          <w:rFonts w:ascii="Calibri" w:cs="Calibri" w:eastAsia="Calibri" w:hAnsi="Calibri"/>
          <w:b w:val="false"/>
          <w:bCs w:val="false"/>
          <w:i w:val="false"/>
          <w:iCs w:val="false"/>
          <w:caps w:val="false"/>
          <w:color w:val="334155"/>
          <w:sz w:val="20"/>
          <w:szCs w:val="20"/>
        </w:rPr>
        <w:t xml:space="preserve">Transition_Barrier_Assessment.docx (criteria and baseline assessment) and Transition_Barrier_Assessment.xlsx (the working research tool this pipeline is designed to populate and maintain).</w:t>
      </w:r>
    </w:p>
    <w:p>
      <w:pPr>
        <w:spacing w:after="0" w:before="0"/>
      </w:pPr>
      <w:r>
        <w:br w:type="page"/>
      </w:r>
    </w:p>
    <w:p>
      <w:pPr>
        <w:pStyle w:val="Heading1"/>
        <w:pBdr>
          <w:bottom w:val="single" w:color="0F5132" w:sz="6" w:space="4"/>
        </w:pBdr>
        <w:spacing w:after="160" w:before="420"/>
      </w:pPr>
      <w:r>
        <w:rPr>
          <w:rFonts w:ascii="Calibri" w:cs="Calibri" w:eastAsia="Calibri" w:hAnsi="Calibri"/>
          <w:b/>
          <w:bCs/>
          <w:i w:val="false"/>
          <w:iCs w:val="false"/>
          <w:caps w:val="false"/>
          <w:color w:val="0D2137"/>
          <w:sz w:val="28"/>
          <w:szCs w:val="28"/>
        </w:rPr>
        <w:t xml:space="preserve">1.  What Is Being Automated</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The manual process this pipeline replaces has four steps, repeated 105 times (35 criteria × 3 regions) and then again on every update cycle: find the current authoritative source for a criterion, extract the specific data field the criterion asks for, apply the rubric to produce a rating, and write the rating, confidence tier, evidence sentence, and source citation into the assessment. Nothing about that process is conceptually hard. What makes it slow is that the sources are heterogeneous — a World Bank API returns clean JSON; an IEA report is a 200-page PDF; an EU regulation is a legal text with the actual number buried in an annex; a company's green steel offtake volume is disclosed, if at all, in a capital markets day slide with no fixed location from one year to the next.</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The objective is not to build one system that reads all 52 sources. It is to build a pipeline that treats source heterogeneity as the primary design variable — routing each criterion to the extraction method its specific source actually supports, failing informatively when it cannot get a clean answer, and always leaving a human-checkable trail from the number in the workbook back to the sentence in the source document that produced it.</w:t>
      </w:r>
    </w:p>
    <w:p>
      <w:pPr>
        <w:pBdr>
          <w:left w:val="single" w:color="0F5132" w:sz="18" w:space="16"/>
        </w:pBdr>
        <w:spacing w:after="220" w:before="220"/>
        <w:ind w:left="480"/>
        <w:jc w:val="left"/>
      </w:pPr>
      <w:r>
        <w:rPr>
          <w:rFonts w:ascii="Calibri" w:cs="Calibri" w:eastAsia="Calibri" w:hAnsi="Calibri"/>
          <w:b/>
          <w:bCs/>
          <w:i w:val="false"/>
          <w:iCs w:val="false"/>
          <w:caps w:val="false"/>
          <w:color w:val="0D2137"/>
          <w:sz w:val="24"/>
          <w:szCs w:val="24"/>
        </w:rPr>
        <w:t xml:space="preserve">The hard part was never scoring the criteria. It was building something that can find and read 52 different kinds of documents without pretending they are all the same kind of document.</w:t>
      </w:r>
    </w:p>
    <w:p>
      <w:pPr>
        <w:pStyle w:val="Heading2"/>
        <w:spacing w:after="110" w:before="300"/>
      </w:pPr>
      <w:r>
        <w:rPr>
          <w:rFonts w:ascii="Calibri" w:cs="Calibri" w:eastAsia="Calibri" w:hAnsi="Calibri"/>
          <w:b/>
          <w:bCs/>
          <w:i w:val="false"/>
          <w:iCs w:val="false"/>
          <w:caps w:val="false"/>
          <w:color w:val="0D2137"/>
          <w:sz w:val="24"/>
          <w:szCs w:val="24"/>
        </w:rPr>
        <w:t xml:space="preserve">1.1  Design principles</w:t>
      </w:r>
    </w:p>
    <w:p>
      <w:pPr>
        <w:pStyle w:val="ListParagraph"/>
        <w:numPr>
          <w:ilvl w:val="0"/>
          <w:numId w:val="2"/>
        </w:numPr>
        <w:spacing w:after="80" w:before="40"/>
      </w:pPr>
      <w:r>
        <w:rPr>
          <w:rFonts w:ascii="Calibri" w:cs="Calibri" w:eastAsia="Calibri" w:hAnsi="Calibri"/>
          <w:b/>
          <w:bCs/>
          <w:i w:val="false"/>
          <w:iCs w:val="false"/>
          <w:caps w:val="false"/>
          <w:color w:val="334155"/>
          <w:sz w:val="22"/>
          <w:szCs w:val="22"/>
        </w:rPr>
        <w:t xml:space="preserve">Criteria-first, not scraper-first. </w:t>
      </w:r>
      <w:r>
        <w:rPr>
          <w:rFonts w:ascii="Calibri" w:cs="Calibri" w:eastAsia="Calibri" w:hAnsi="Calibri"/>
          <w:b w:val="false"/>
          <w:bCs w:val="false"/>
          <w:i w:val="false"/>
          <w:iCs w:val="false"/>
          <w:caps w:val="false"/>
          <w:color w:val="334155"/>
          <w:sz w:val="22"/>
          <w:szCs w:val="22"/>
        </w:rPr>
        <w:t xml:space="preserve">The criteria schema (criteria_schema.json) is the contract. The pipeline is built to fill that schema, not the other way around — if a source cannot answer a criterion's exact metric, that is a gap to flag, not a reason to loosen the criterion.</w:t>
      </w:r>
    </w:p>
    <w:p>
      <w:pPr>
        <w:pStyle w:val="ListParagraph"/>
        <w:numPr>
          <w:ilvl w:val="0"/>
          <w:numId w:val="2"/>
        </w:numPr>
        <w:spacing w:after="80" w:before="40"/>
      </w:pPr>
      <w:r>
        <w:rPr>
          <w:rFonts w:ascii="Calibri" w:cs="Calibri" w:eastAsia="Calibri" w:hAnsi="Calibri"/>
          <w:b/>
          <w:bCs/>
          <w:i w:val="false"/>
          <w:iCs w:val="false"/>
          <w:caps w:val="false"/>
          <w:color w:val="334155"/>
          <w:sz w:val="22"/>
          <w:szCs w:val="22"/>
        </w:rPr>
        <w:t xml:space="preserve">Confidence is a first-class output, not an afterthought. </w:t>
      </w:r>
      <w:r>
        <w:rPr>
          <w:rFonts w:ascii="Calibri" w:cs="Calibri" w:eastAsia="Calibri" w:hAnsi="Calibri"/>
          <w:b w:val="false"/>
          <w:bCs w:val="false"/>
          <w:i w:val="false"/>
          <w:iCs w:val="false"/>
          <w:caps w:val="false"/>
          <w:color w:val="334155"/>
          <w:sz w:val="22"/>
          <w:szCs w:val="22"/>
        </w:rPr>
        <w:t xml:space="preserve">Every extracted value carries a confidence tier from the moment it is produced. A value the pipeline is unsure about should look different from one it is sure about, all the way through to the workbook cell.</w:t>
      </w:r>
    </w:p>
    <w:p>
      <w:pPr>
        <w:pStyle w:val="ListParagraph"/>
        <w:numPr>
          <w:ilvl w:val="0"/>
          <w:numId w:val="2"/>
        </w:numPr>
        <w:spacing w:after="80" w:before="40"/>
      </w:pPr>
      <w:r>
        <w:rPr>
          <w:rFonts w:ascii="Calibri" w:cs="Calibri" w:eastAsia="Calibri" w:hAnsi="Calibri"/>
          <w:b/>
          <w:bCs/>
          <w:i w:val="false"/>
          <w:iCs w:val="false"/>
          <w:caps w:val="false"/>
          <w:color w:val="334155"/>
          <w:sz w:val="22"/>
          <w:szCs w:val="22"/>
        </w:rPr>
        <w:t xml:space="preserve">Never silently overwrite a human judgment call. </w:t>
      </w:r>
      <w:r>
        <w:rPr>
          <w:rFonts w:ascii="Calibri" w:cs="Calibri" w:eastAsia="Calibri" w:hAnsi="Calibri"/>
          <w:b w:val="false"/>
          <w:bCs w:val="false"/>
          <w:i w:val="false"/>
          <w:iCs w:val="false"/>
          <w:caps w:val="false"/>
          <w:color w:val="334155"/>
          <w:sz w:val="22"/>
          <w:szCs w:val="22"/>
        </w:rPr>
        <w:t xml:space="preserve">Where a researcher has manually verified and annotated a cell, the pipeline treats that as higher-authority than its own extraction until the source itself changes.</w:t>
      </w:r>
    </w:p>
    <w:p>
      <w:pPr>
        <w:pStyle w:val="ListParagraph"/>
        <w:numPr>
          <w:ilvl w:val="0"/>
          <w:numId w:val="2"/>
        </w:numPr>
        <w:spacing w:after="80" w:before="40"/>
      </w:pPr>
      <w:r>
        <w:rPr>
          <w:rFonts w:ascii="Calibri" w:cs="Calibri" w:eastAsia="Calibri" w:hAnsi="Calibri"/>
          <w:b/>
          <w:bCs/>
          <w:i w:val="false"/>
          <w:iCs w:val="false"/>
          <w:caps w:val="false"/>
          <w:color w:val="334155"/>
          <w:sz w:val="22"/>
          <w:szCs w:val="22"/>
        </w:rPr>
        <w:t xml:space="preserve">Traceability over coverage. </w:t>
      </w:r>
      <w:r>
        <w:rPr>
          <w:rFonts w:ascii="Calibri" w:cs="Calibri" w:eastAsia="Calibri" w:hAnsi="Calibri"/>
          <w:b w:val="false"/>
          <w:bCs w:val="false"/>
          <w:i w:val="false"/>
          <w:iCs w:val="false"/>
          <w:caps w:val="false"/>
          <w:color w:val="334155"/>
          <w:sz w:val="22"/>
          <w:szCs w:val="22"/>
        </w:rPr>
        <w:t xml:space="preserve">A pipeline that confidently fills 105 cells with unsourced numbers is worse than one that fills 40 cells correctly and flags the other 65 for manual research. Every automated cell must carry a link or citation a human can check in under a minute.</w:t>
      </w:r>
    </w:p>
    <w:p>
      <w:pPr>
        <w:pStyle w:val="ListParagraph"/>
        <w:numPr>
          <w:ilvl w:val="0"/>
          <w:numId w:val="2"/>
        </w:numPr>
        <w:spacing w:after="80" w:before="40"/>
      </w:pPr>
      <w:r>
        <w:rPr>
          <w:rFonts w:ascii="Calibri" w:cs="Calibri" w:eastAsia="Calibri" w:hAnsi="Calibri"/>
          <w:b/>
          <w:bCs/>
          <w:i w:val="false"/>
          <w:iCs w:val="false"/>
          <w:caps w:val="false"/>
          <w:color w:val="334155"/>
          <w:sz w:val="22"/>
          <w:szCs w:val="22"/>
        </w:rPr>
        <w:t xml:space="preserve">Build for the update cycle, not just the first pass. </w:t>
      </w:r>
      <w:r>
        <w:rPr>
          <w:rFonts w:ascii="Calibri" w:cs="Calibri" w:eastAsia="Calibri" w:hAnsi="Calibri"/>
          <w:b w:val="false"/>
          <w:bCs w:val="false"/>
          <w:i w:val="false"/>
          <w:iCs w:val="false"/>
          <w:caps w:val="false"/>
          <w:color w:val="334155"/>
          <w:sz w:val="22"/>
          <w:szCs w:val="22"/>
        </w:rPr>
        <w:t xml:space="preserve">The baseline assessment is a one-time lift. The recurring value is in catching what changed — a new EU regulation, a revised IEA figure, a canceled project — since the last check. The pipeline should be at least as good at detecting change as it is at initial extraction.</w:t>
      </w:r>
    </w:p>
    <w:p>
      <w:pPr>
        <w:spacing w:after="0" w:before="0"/>
      </w:pPr>
      <w:r>
        <w:br w:type="page"/>
      </w:r>
    </w:p>
    <w:p>
      <w:pPr>
        <w:pStyle w:val="Heading1"/>
        <w:pBdr>
          <w:bottom w:val="single" w:color="0F5132" w:sz="6" w:space="4"/>
        </w:pBdr>
        <w:spacing w:after="160" w:before="420"/>
      </w:pPr>
      <w:r>
        <w:rPr>
          <w:rFonts w:ascii="Calibri" w:cs="Calibri" w:eastAsia="Calibri" w:hAnsi="Calibri"/>
          <w:b/>
          <w:bCs/>
          <w:i w:val="false"/>
          <w:iCs w:val="false"/>
          <w:caps w:val="false"/>
          <w:color w:val="0D2137"/>
          <w:sz w:val="28"/>
          <w:szCs w:val="28"/>
        </w:rPr>
        <w:t xml:space="preserve">2.  Source Taxonomy: Why One Pipeline Design Does Not Fit All 52 Sources</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The 52 named sources behind the current criteria fall into six access patterns. Each pattern needs a different extraction strategy, a different refresh cadence, and a different confidence ceiling — no amount of engineering effort turns a company capital markets day slide into something as reliable as a World Bank API response.</w:t>
      </w:r>
    </w:p>
    <w:tbl>
      <w:tblPr>
        <w:tblW w:type="dxa" w:w="9186"/>
        <w:tblBorders>
          <w:top w:val="single" w:color="auto" w:sz="4"/>
          <w:left w:val="single" w:color="auto" w:sz="4"/>
          <w:bottom w:val="single" w:color="auto" w:sz="4"/>
          <w:right w:val="single" w:color="auto" w:sz="4"/>
          <w:insideH w:val="single" w:color="auto" w:sz="4"/>
          <w:insideV w:val="single" w:color="auto" w:sz="4"/>
        </w:tblBorders>
      </w:tblPr>
      <w:tblGrid>
        <w:gridCol w:w="1745"/>
        <w:gridCol w:w="2572"/>
        <w:gridCol w:w="3491"/>
        <w:gridCol w:w="1378"/>
      </w:tblGrid>
      <w:tr>
        <w:tc>
          <w:tcPr>
            <w:tcW w:type="dxa" w:w="1745"/>
            <w:tcBorders>
              <w:top w:val="single" w:color="CBD5E1" w:sz="2"/>
              <w:left w:val="single" w:color="CBD5E1" w:sz="2"/>
              <w:bottom w:val="single" w:color="CBD5E1" w:sz="2"/>
              <w:right w:val="single" w:color="CBD5E1" w:sz="2"/>
            </w:tcBorders>
            <w:shd w:fill="0D2137" w:val="clear"/>
            <w:tcMar>
              <w:top w:type="dxa" w:w="70"/>
              <w:left w:type="dxa" w:w="120"/>
              <w:bottom w:type="dxa" w:w="70"/>
              <w:right w:type="dxa" w:w="120"/>
            </w:tcMar>
            <w:vAlign w:val="center"/>
          </w:tcPr>
          <w:p>
            <w:pPr>
              <w:spacing w:after="0" w:before="0"/>
            </w:pPr>
            <w:r>
              <w:rPr>
                <w:rFonts w:ascii="Calibri" w:cs="Calibri" w:eastAsia="Calibri" w:hAnsi="Calibri"/>
                <w:b/>
                <w:bCs/>
                <w:i w:val="false"/>
                <w:iCs w:val="false"/>
                <w:caps/>
                <w:color w:val="FFFFFF"/>
                <w:spacing w:val="10"/>
                <w:sz w:val="17"/>
                <w:szCs w:val="17"/>
              </w:rPr>
              <w:t xml:space="preserve">Source type</w:t>
            </w:r>
          </w:p>
        </w:tc>
        <w:tc>
          <w:tcPr>
            <w:tcW w:type="dxa" w:w="2572"/>
            <w:tcBorders>
              <w:top w:val="single" w:color="CBD5E1" w:sz="2"/>
              <w:left w:val="single" w:color="CBD5E1" w:sz="2"/>
              <w:bottom w:val="single" w:color="CBD5E1" w:sz="2"/>
              <w:right w:val="single" w:color="CBD5E1" w:sz="2"/>
            </w:tcBorders>
            <w:shd w:fill="0D2137" w:val="clear"/>
            <w:tcMar>
              <w:top w:type="dxa" w:w="70"/>
              <w:left w:type="dxa" w:w="120"/>
              <w:bottom w:type="dxa" w:w="70"/>
              <w:right w:type="dxa" w:w="120"/>
            </w:tcMar>
            <w:vAlign w:val="center"/>
          </w:tcPr>
          <w:p>
            <w:pPr>
              <w:spacing w:after="0" w:before="0"/>
            </w:pPr>
            <w:r>
              <w:rPr>
                <w:rFonts w:ascii="Calibri" w:cs="Calibri" w:eastAsia="Calibri" w:hAnsi="Calibri"/>
                <w:b/>
                <w:bCs/>
                <w:i w:val="false"/>
                <w:iCs w:val="false"/>
                <w:caps/>
                <w:color w:val="FFFFFF"/>
                <w:spacing w:val="10"/>
                <w:sz w:val="17"/>
                <w:szCs w:val="17"/>
              </w:rPr>
              <w:t xml:space="preserve">Examples in this assessment</w:t>
            </w:r>
          </w:p>
        </w:tc>
        <w:tc>
          <w:tcPr>
            <w:tcW w:type="dxa" w:w="3491"/>
            <w:tcBorders>
              <w:top w:val="single" w:color="CBD5E1" w:sz="2"/>
              <w:left w:val="single" w:color="CBD5E1" w:sz="2"/>
              <w:bottom w:val="single" w:color="CBD5E1" w:sz="2"/>
              <w:right w:val="single" w:color="CBD5E1" w:sz="2"/>
            </w:tcBorders>
            <w:shd w:fill="0D2137" w:val="clear"/>
            <w:tcMar>
              <w:top w:type="dxa" w:w="70"/>
              <w:left w:type="dxa" w:w="120"/>
              <w:bottom w:type="dxa" w:w="70"/>
              <w:right w:type="dxa" w:w="120"/>
            </w:tcMar>
            <w:vAlign w:val="center"/>
          </w:tcPr>
          <w:p>
            <w:pPr>
              <w:spacing w:after="0" w:before="0"/>
            </w:pPr>
            <w:r>
              <w:rPr>
                <w:rFonts w:ascii="Calibri" w:cs="Calibri" w:eastAsia="Calibri" w:hAnsi="Calibri"/>
                <w:b/>
                <w:bCs/>
                <w:i w:val="false"/>
                <w:iCs w:val="false"/>
                <w:caps/>
                <w:color w:val="FFFFFF"/>
                <w:spacing w:val="10"/>
                <w:sz w:val="17"/>
                <w:szCs w:val="17"/>
              </w:rPr>
              <w:t xml:space="preserve">Extraction strategy</w:t>
            </w:r>
          </w:p>
        </w:tc>
        <w:tc>
          <w:tcPr>
            <w:tcW w:type="dxa" w:w="1378"/>
            <w:tcBorders>
              <w:top w:val="single" w:color="CBD5E1" w:sz="2"/>
              <w:left w:val="single" w:color="CBD5E1" w:sz="2"/>
              <w:bottom w:val="single" w:color="CBD5E1" w:sz="2"/>
              <w:right w:val="single" w:color="CBD5E1" w:sz="2"/>
            </w:tcBorders>
            <w:shd w:fill="0D2137" w:val="clear"/>
            <w:tcMar>
              <w:top w:type="dxa" w:w="70"/>
              <w:left w:type="dxa" w:w="120"/>
              <w:bottom w:type="dxa" w:w="70"/>
              <w:right w:type="dxa" w:w="120"/>
            </w:tcMar>
            <w:vAlign w:val="center"/>
          </w:tcPr>
          <w:p>
            <w:pPr>
              <w:spacing w:after="0" w:before="0"/>
            </w:pPr>
            <w:r>
              <w:rPr>
                <w:rFonts w:ascii="Calibri" w:cs="Calibri" w:eastAsia="Calibri" w:hAnsi="Calibri"/>
                <w:b/>
                <w:bCs/>
                <w:i w:val="false"/>
                <w:iCs w:val="false"/>
                <w:caps/>
                <w:color w:val="FFFFFF"/>
                <w:spacing w:val="10"/>
                <w:sz w:val="17"/>
                <w:szCs w:val="17"/>
              </w:rPr>
              <w:t xml:space="preserve">Automation ceiling</w:t>
            </w:r>
          </w:p>
        </w:tc>
      </w:tr>
      <w:tr>
        <w:tc>
          <w:tcPr>
            <w:tcW w:type="dxa" w:w="1745"/>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D2137"/>
                <w:sz w:val="18"/>
                <w:szCs w:val="18"/>
              </w:rPr>
              <w:t xml:space="preserve">Structured API / data dashboard</w:t>
            </w:r>
          </w:p>
        </w:tc>
        <w:tc>
          <w:tcPr>
            <w:tcW w:type="dxa" w:w="2572"/>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World Bank Carbon Pricing Dashboard, USGS Mineral Commodity Summaries, exchange price feeds (EEX, Shanghai Environment and Energy Exchange)</w:t>
            </w:r>
          </w:p>
        </w:tc>
        <w:tc>
          <w:tcPr>
            <w:tcW w:type="dxa" w:w="3491"/>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Direct API or structured-download query. Highest automation ceiling — near-real-time, machine-readable, versioned.</w:t>
            </w:r>
          </w:p>
        </w:tc>
        <w:tc>
          <w:tcPr>
            <w:tcW w:type="dxa" w:w="1378"/>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65F46"/>
                <w:sz w:val="18"/>
                <w:szCs w:val="18"/>
              </w:rPr>
              <w:t xml:space="preserve">High</w:t>
            </w:r>
          </w:p>
        </w:tc>
      </w:tr>
      <w:tr>
        <w:tc>
          <w:tcPr>
            <w:tcW w:type="dxa" w:w="1745"/>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D2137"/>
                <w:sz w:val="18"/>
                <w:szCs w:val="18"/>
              </w:rPr>
              <w:t xml:space="preserve">Periodic institutional PDF report</w:t>
            </w:r>
          </w:p>
        </w:tc>
        <w:tc>
          <w:tcPr>
            <w:tcW w:type="dxa" w:w="2572"/>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IEA World Energy Investment / Global Hydrogen Review / Critical Minerals Outlook, IRENA cost reports, BloombergNEF outlooks, Lazard LCOE analysis</w:t>
            </w:r>
          </w:p>
        </w:tc>
        <w:tc>
          <w:tcPr>
            <w:tcW w:type="dxa" w:w="3491"/>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Scheduled fetch on publication (usually annual) + PDF table/chart extraction targeting named tables. Reliable once the report's structure is mapped; structure can shift year to year.</w:t>
            </w:r>
          </w:p>
        </w:tc>
        <w:tc>
          <w:tcPr>
            <w:tcW w:type="dxa" w:w="1378"/>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E7490"/>
                <w:sz w:val="18"/>
                <w:szCs w:val="18"/>
              </w:rPr>
              <w:t xml:space="preserve">Medium-High</w:t>
            </w:r>
          </w:p>
        </w:tc>
      </w:tr>
      <w:tr>
        <w:tc>
          <w:tcPr>
            <w:tcW w:type="dxa" w:w="1745"/>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D2137"/>
                <w:sz w:val="18"/>
                <w:szCs w:val="18"/>
              </w:rPr>
              <w:t xml:space="preserve">Legal / regulatory text</w:t>
            </w:r>
          </w:p>
        </w:tc>
        <w:tc>
          <w:tcPr>
            <w:tcW w:type="dxa" w:w="2572"/>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Official Journal of the EU (CBAM, ETS, CRMA, CO2 standards regulations), US Federal Register</w:t>
            </w:r>
          </w:p>
        </w:tc>
        <w:tc>
          <w:tcPr>
            <w:tcW w:type="dxa" w:w="3491"/>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Full-text retrieval + targeted clause extraction (thresholds, dates, percentages) using structured legal-document parsing. High reliability on the text itself; requires domain logic to convert legal language into a rubric-ready figure.</w:t>
            </w:r>
          </w:p>
        </w:tc>
        <w:tc>
          <w:tcPr>
            <w:tcW w:type="dxa" w:w="1378"/>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E7490"/>
                <w:sz w:val="18"/>
                <w:szCs w:val="18"/>
              </w:rPr>
              <w:t xml:space="preserve">Medium-High</w:t>
            </w:r>
          </w:p>
        </w:tc>
      </w:tr>
      <w:tr>
        <w:tc>
          <w:tcPr>
            <w:tcW w:type="dxa" w:w="1745"/>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D2137"/>
                <w:sz w:val="18"/>
                <w:szCs w:val="18"/>
              </w:rPr>
              <w:t xml:space="preserve">Government agency publication</w:t>
            </w:r>
          </w:p>
        </w:tc>
        <w:tc>
          <w:tcPr>
            <w:tcW w:type="dxa" w:w="2572"/>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US DOE/EPA program pages, China NEA/MEE/MIIT/NDRC publications, California Air Resources Board</w:t>
            </w:r>
          </w:p>
        </w:tc>
        <w:tc>
          <w:tcPr>
            <w:tcW w:type="dxa" w:w="3491"/>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Agency-specific page monitoring + document fetch. Reliability varies widely by agency; Chinese-language sources need translation with domain-term glossaries to avoid mistranslation of technical thresholds.</w:t>
            </w:r>
          </w:p>
        </w:tc>
        <w:tc>
          <w:tcPr>
            <w:tcW w:type="dxa" w:w="1378"/>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92400E"/>
                <w:sz w:val="18"/>
                <w:szCs w:val="18"/>
              </w:rPr>
              <w:t xml:space="preserve">Medium</w:t>
            </w:r>
          </w:p>
        </w:tc>
      </w:tr>
      <w:tr>
        <w:tc>
          <w:tcPr>
            <w:tcW w:type="dxa" w:w="1745"/>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D2137"/>
                <w:sz w:val="18"/>
                <w:szCs w:val="18"/>
              </w:rPr>
              <w:t xml:space="preserve">Industry tracker / consortium database</w:t>
            </w:r>
          </w:p>
        </w:tc>
        <w:tc>
          <w:tcPr>
            <w:tcW w:type="dxa" w:w="2572"/>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Global CCS Institute CO2RE, Clarksons Research, DNV Alternative Fuels Insight, Getting to Zero Coalition corridors tracker</w:t>
            </w:r>
          </w:p>
        </w:tc>
        <w:tc>
          <w:tcPr>
            <w:tcW w:type="dxa" w:w="3491"/>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API where available (some are subscription-gated); otherwise scheduled scrape of a maintained public database. These trackers do the hardest data-collection work already — treat as a force multiplier, not a target to replicate.</w:t>
            </w:r>
          </w:p>
        </w:tc>
        <w:tc>
          <w:tcPr>
            <w:tcW w:type="dxa" w:w="1378"/>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E7490"/>
                <w:sz w:val="18"/>
                <w:szCs w:val="18"/>
              </w:rPr>
              <w:t xml:space="preserve">Medium-High</w:t>
            </w:r>
          </w:p>
        </w:tc>
      </w:tr>
      <w:tr>
        <w:tc>
          <w:tcPr>
            <w:tcW w:type="dxa" w:w="1745"/>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D2137"/>
                <w:sz w:val="18"/>
                <w:szCs w:val="18"/>
              </w:rPr>
              <w:t xml:space="preserve">Company disclosure (unstructured)</w:t>
            </w:r>
          </w:p>
        </w:tc>
        <w:tc>
          <w:tcPr>
            <w:tcW w:type="dxa" w:w="2572"/>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Annual reports, capital markets day decks, investor press releases (SSAB, Heidelberg Materials, Freeport-McMoRan, Maersk, etc.)</w:t>
            </w:r>
          </w:p>
        </w:tc>
        <w:tc>
          <w:tcPr>
            <w:tcW w:type="dxa" w:w="3491"/>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Targeted document fetch (IR page monitoring) + LLM extraction against a specific question per company. Lowest structural consistency — same company can present the same fact differently year to year. Requires the widest confidence band and the most human spot-checking.</w:t>
            </w:r>
          </w:p>
        </w:tc>
        <w:tc>
          <w:tcPr>
            <w:tcW w:type="dxa" w:w="1378"/>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7F1D1D"/>
                <w:sz w:val="18"/>
                <w:szCs w:val="18"/>
              </w:rPr>
              <w:t xml:space="preserve">Low-Medium</w:t>
            </w:r>
          </w:p>
        </w:tc>
      </w:tr>
    </w:tbl>
    <w:p>
      <w:pPr>
        <w:spacing w:after="120" w:before="0" w:line="282" w:lineRule="auto"/>
        <w:jc w:val="both"/>
      </w:pPr>
      <w:r>
        <w:rPr>
          <w:rFonts w:ascii="Calibri" w:cs="Calibri" w:eastAsia="Calibri" w:hAnsi="Calibri"/>
          <w:b w:val="false"/>
          <w:bCs w:val="false"/>
          <w:i w:val="false"/>
          <w:iCs w:val="false"/>
          <w:caps w:val="false"/>
          <w:color w:val="334155"/>
          <w:sz w:val="22"/>
          <w:szCs w:val="22"/>
        </w:rPr>
        <w:t xml:space="preserve"/>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Of the 105 baseline ratings, roughly 25% rest on structured/API-grade sources, 45% on periodic institutional reports or legal text, and the remaining 30% on government publications, trackers, or company disclosures where full automation is not realistic in the near term. That 30% is not a pipeline failure — it is where human research judgment continues to add the most value, and the pipeline should route those criteria to a researcher rather than force an unreliable extraction.</w:t>
      </w:r>
    </w:p>
    <w:p>
      <w:pPr>
        <w:spacing w:after="0" w:before="0"/>
      </w:pPr>
      <w:r>
        <w:br w:type="page"/>
      </w:r>
    </w:p>
    <w:p>
      <w:pPr>
        <w:pStyle w:val="Heading1"/>
        <w:pBdr>
          <w:bottom w:val="single" w:color="0F5132" w:sz="6" w:space="4"/>
        </w:pBdr>
        <w:spacing w:after="160" w:before="420"/>
      </w:pPr>
      <w:r>
        <w:rPr>
          <w:rFonts w:ascii="Calibri" w:cs="Calibri" w:eastAsia="Calibri" w:hAnsi="Calibri"/>
          <w:b/>
          <w:bCs/>
          <w:i w:val="false"/>
          <w:iCs w:val="false"/>
          <w:caps w:val="false"/>
          <w:color w:val="0D2137"/>
          <w:sz w:val="28"/>
          <w:szCs w:val="28"/>
        </w:rPr>
        <w:t xml:space="preserve">3.  Pipeline Architecture</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The pipeline is organised as five stages, each owned by a distinct agent role with a narrow job. Splitting the work this way keeps each agent's prompt and tool access small enough to audit, and means a failure in one stage (a source that changed its page structure, say) does not silently corrupt the others.</w:t>
      </w:r>
    </w:p>
    <w:p>
      <w:pPr>
        <w:pStyle w:val="Heading2"/>
        <w:spacing w:after="110" w:before="300"/>
      </w:pPr>
      <w:r>
        <w:rPr>
          <w:rFonts w:ascii="Calibri" w:cs="Calibri" w:eastAsia="Calibri" w:hAnsi="Calibri"/>
          <w:b/>
          <w:bCs/>
          <w:i w:val="false"/>
          <w:iCs w:val="false"/>
          <w:caps w:val="false"/>
          <w:color w:val="0D2137"/>
          <w:sz w:val="24"/>
          <w:szCs w:val="24"/>
        </w:rPr>
        <w:t xml:space="preserve">3.1  Stage overview</w:t>
      </w:r>
    </w:p>
    <w:tbl>
      <w:tblPr>
        <w:tblW w:type="dxa" w:w="9186"/>
        <w:tblBorders>
          <w:top w:val="single" w:color="auto" w:sz="4"/>
          <w:left w:val="single" w:color="auto" w:sz="4"/>
          <w:bottom w:val="single" w:color="auto" w:sz="4"/>
          <w:right w:val="single" w:color="auto" w:sz="4"/>
          <w:insideH w:val="single" w:color="auto" w:sz="4"/>
          <w:insideV w:val="single" w:color="auto" w:sz="4"/>
        </w:tblBorders>
      </w:tblPr>
      <w:tblGrid>
        <w:gridCol w:w="1653"/>
        <w:gridCol w:w="5144"/>
        <w:gridCol w:w="2388"/>
      </w:tblGrid>
      <w:tr>
        <w:tc>
          <w:tcPr>
            <w:tcW w:type="dxa" w:w="1653"/>
            <w:tcBorders>
              <w:top w:val="single" w:color="CBD5E1" w:sz="2"/>
              <w:left w:val="single" w:color="CBD5E1" w:sz="2"/>
              <w:bottom w:val="single" w:color="CBD5E1" w:sz="2"/>
              <w:right w:val="single" w:color="CBD5E1" w:sz="2"/>
            </w:tcBorders>
            <w:shd w:fill="0D2137" w:val="clear"/>
            <w:tcMar>
              <w:top w:type="dxa" w:w="70"/>
              <w:left w:type="dxa" w:w="120"/>
              <w:bottom w:type="dxa" w:w="70"/>
              <w:right w:type="dxa" w:w="120"/>
            </w:tcMar>
            <w:vAlign w:val="center"/>
          </w:tcPr>
          <w:p>
            <w:pPr>
              <w:spacing w:after="0" w:before="0"/>
            </w:pPr>
            <w:r>
              <w:rPr>
                <w:rFonts w:ascii="Calibri" w:cs="Calibri" w:eastAsia="Calibri" w:hAnsi="Calibri"/>
                <w:b/>
                <w:bCs/>
                <w:i w:val="false"/>
                <w:iCs w:val="false"/>
                <w:caps/>
                <w:color w:val="FFFFFF"/>
                <w:spacing w:val="10"/>
                <w:sz w:val="17"/>
                <w:szCs w:val="17"/>
              </w:rPr>
              <w:t xml:space="preserve">Stage</w:t>
            </w:r>
          </w:p>
        </w:tc>
        <w:tc>
          <w:tcPr>
            <w:tcW w:type="dxa" w:w="5144"/>
            <w:tcBorders>
              <w:top w:val="single" w:color="CBD5E1" w:sz="2"/>
              <w:left w:val="single" w:color="CBD5E1" w:sz="2"/>
              <w:bottom w:val="single" w:color="CBD5E1" w:sz="2"/>
              <w:right w:val="single" w:color="CBD5E1" w:sz="2"/>
            </w:tcBorders>
            <w:shd w:fill="0D2137" w:val="clear"/>
            <w:tcMar>
              <w:top w:type="dxa" w:w="70"/>
              <w:left w:type="dxa" w:w="120"/>
              <w:bottom w:type="dxa" w:w="70"/>
              <w:right w:type="dxa" w:w="120"/>
            </w:tcMar>
            <w:vAlign w:val="center"/>
          </w:tcPr>
          <w:p>
            <w:pPr>
              <w:spacing w:after="0" w:before="0"/>
            </w:pPr>
            <w:r>
              <w:rPr>
                <w:rFonts w:ascii="Calibri" w:cs="Calibri" w:eastAsia="Calibri" w:hAnsi="Calibri"/>
                <w:b/>
                <w:bCs/>
                <w:i w:val="false"/>
                <w:iCs w:val="false"/>
                <w:caps/>
                <w:color w:val="FFFFFF"/>
                <w:spacing w:val="10"/>
                <w:sz w:val="17"/>
                <w:szCs w:val="17"/>
              </w:rPr>
              <w:t xml:space="preserve">What it does</w:t>
            </w:r>
          </w:p>
        </w:tc>
        <w:tc>
          <w:tcPr>
            <w:tcW w:type="dxa" w:w="2388"/>
            <w:tcBorders>
              <w:top w:val="single" w:color="CBD5E1" w:sz="2"/>
              <w:left w:val="single" w:color="CBD5E1" w:sz="2"/>
              <w:bottom w:val="single" w:color="CBD5E1" w:sz="2"/>
              <w:right w:val="single" w:color="CBD5E1" w:sz="2"/>
            </w:tcBorders>
            <w:shd w:fill="0D2137" w:val="clear"/>
            <w:tcMar>
              <w:top w:type="dxa" w:w="70"/>
              <w:left w:type="dxa" w:w="120"/>
              <w:bottom w:type="dxa" w:w="70"/>
              <w:right w:type="dxa" w:w="120"/>
            </w:tcMar>
            <w:vAlign w:val="center"/>
          </w:tcPr>
          <w:p>
            <w:pPr>
              <w:spacing w:after="0" w:before="0"/>
            </w:pPr>
            <w:r>
              <w:rPr>
                <w:rFonts w:ascii="Calibri" w:cs="Calibri" w:eastAsia="Calibri" w:hAnsi="Calibri"/>
                <w:b/>
                <w:bCs/>
                <w:i w:val="false"/>
                <w:iCs w:val="false"/>
                <w:caps/>
                <w:color w:val="FFFFFF"/>
                <w:spacing w:val="10"/>
                <w:sz w:val="17"/>
                <w:szCs w:val="17"/>
              </w:rPr>
              <w:t xml:space="preserve">Key inputs</w:t>
            </w:r>
          </w:p>
        </w:tc>
      </w:tr>
      <w:tr>
        <w:tc>
          <w:tcPr>
            <w:tcW w:type="dxa" w:w="1653"/>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D2137"/>
                <w:sz w:val="18"/>
                <w:szCs w:val="18"/>
              </w:rPr>
              <w:t xml:space="preserve">1. Source Router</w:t>
            </w:r>
          </w:p>
        </w:tc>
        <w:tc>
          <w:tcPr>
            <w:tcW w:type="dxa" w:w="5144"/>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Reads a criterion from the schema and its named sources. Decides, per source, which access pattern applies (Section 2) and hands off to the matching retrieval method. Outputs: a retrieval job per source, tagged with expected format.</w:t>
            </w:r>
          </w:p>
        </w:tc>
        <w:tc>
          <w:tcPr>
            <w:tcW w:type="dxa" w:w="2388"/>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iCs/>
                <w:caps w:val="false"/>
                <w:color w:val="334155"/>
                <w:sz w:val="15"/>
                <w:szCs w:val="15"/>
              </w:rPr>
              <w:t xml:space="preserve">Criteria schema (JSON) + source registry (Section 4)</w:t>
            </w:r>
          </w:p>
        </w:tc>
      </w:tr>
      <w:tr>
        <w:tc>
          <w:tcPr>
            <w:tcW w:type="dxa" w:w="1653"/>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D2137"/>
                <w:sz w:val="18"/>
                <w:szCs w:val="18"/>
              </w:rPr>
              <w:t xml:space="preserve">2. Retriever</w:t>
            </w:r>
          </w:p>
        </w:tc>
        <w:tc>
          <w:tcPr>
            <w:tcW w:type="dxa" w:w="5144"/>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Executes the actual fetch: API call, PDF download, web fetch, or a flagged 'needs manual retrieval' for sources with no reliable automated path (e.g. paywalled trackers, some company IR pages behind interaction-heavy sites). Outputs: raw document/data + retrieval timestamp + retrieval method used.</w:t>
            </w:r>
          </w:p>
        </w:tc>
        <w:tc>
          <w:tcPr>
            <w:tcW w:type="dxa" w:w="2388"/>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iCs/>
                <w:caps w:val="false"/>
                <w:color w:val="334155"/>
                <w:sz w:val="15"/>
                <w:szCs w:val="15"/>
              </w:rPr>
              <w:t xml:space="preserve">Web fetch / API clients / scheduled scrapers</w:t>
            </w:r>
          </w:p>
        </w:tc>
      </w:tr>
      <w:tr>
        <w:tc>
          <w:tcPr>
            <w:tcW w:type="dxa" w:w="1653"/>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D2137"/>
                <w:sz w:val="18"/>
                <w:szCs w:val="18"/>
              </w:rPr>
              <w:t xml:space="preserve">3. Extractor</w:t>
            </w:r>
          </w:p>
        </w:tc>
        <w:tc>
          <w:tcPr>
            <w:tcW w:type="dxa" w:w="5144"/>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Given the raw document and the criterion's exact metric definition, extracts the specific value the rubric needs — not a summary. Uses source-type-specific extraction logic (structured parse for APIs, targeted table/clause extraction for PDFs and legal text, question-answering extraction for company disclosures). Outputs: candidate value + the exact source passage it came from.</w:t>
            </w:r>
          </w:p>
        </w:tc>
        <w:tc>
          <w:tcPr>
            <w:tcW w:type="dxa" w:w="2388"/>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iCs/>
                <w:caps w:val="false"/>
                <w:color w:val="334155"/>
                <w:sz w:val="15"/>
                <w:szCs w:val="15"/>
              </w:rPr>
              <w:t xml:space="preserve">Extraction logic per source type (Section 5) + an LLM extraction step for unstructured text</w:t>
            </w:r>
          </w:p>
        </w:tc>
      </w:tr>
      <w:tr>
        <w:tc>
          <w:tcPr>
            <w:tcW w:type="dxa" w:w="1653"/>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D2137"/>
                <w:sz w:val="18"/>
                <w:szCs w:val="18"/>
              </w:rPr>
              <w:t xml:space="preserve">4. Rater</w:t>
            </w:r>
          </w:p>
        </w:tc>
        <w:tc>
          <w:tcPr>
            <w:tcW w:type="dxa" w:w="5144"/>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Applies the criterion's rating rubric (H/M/L) to the extracted value mechanically — this step is deliberately not an LLM judgment call where the rubric is numeric. Assigns a confidence tier based on source type, extraction method, and recency (Section 6). Outputs: rating + confidence + evidence sentence, in the same schema as assessment_scores.json.</w:t>
            </w:r>
          </w:p>
        </w:tc>
        <w:tc>
          <w:tcPr>
            <w:tcW w:type="dxa" w:w="2388"/>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iCs/>
                <w:caps w:val="false"/>
                <w:color w:val="334155"/>
                <w:sz w:val="15"/>
                <w:szCs w:val="15"/>
              </w:rPr>
              <w:t xml:space="preserve">Rubric engine (rule-based, not model-based, wherever the rubric is numeric)</w:t>
            </w:r>
          </w:p>
        </w:tc>
      </w:tr>
      <w:tr>
        <w:tc>
          <w:tcPr>
            <w:tcW w:type="dxa" w:w="1653"/>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D2137"/>
                <w:sz w:val="18"/>
                <w:szCs w:val="18"/>
              </w:rPr>
              <w:t xml:space="preserve">5. Reconciler</w:t>
            </w:r>
          </w:p>
        </w:tc>
        <w:tc>
          <w:tcPr>
            <w:tcW w:type="dxa" w:w="5144"/>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Compares the new rating against the current value in the Assessment Matrix. If unchanged: updates the Last Verified date only. If changed: flags for human review before overwriting — never auto-overwrites a rating that moves the H/M/L classification. Outputs: an update proposal, not a committed change.</w:t>
            </w:r>
          </w:p>
        </w:tc>
        <w:tc>
          <w:tcPr>
            <w:tcW w:type="dxa" w:w="2388"/>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iCs/>
                <w:caps w:val="false"/>
                <w:color w:val="334155"/>
                <w:sz w:val="15"/>
                <w:szCs w:val="15"/>
              </w:rPr>
              <w:t xml:space="preserve">Diff logic against the live workbook + human review queue</w:t>
            </w:r>
          </w:p>
        </w:tc>
      </w:tr>
    </w:tbl>
    <w:p>
      <w:pPr>
        <w:spacing w:after="120" w:before="0" w:line="282" w:lineRule="auto"/>
        <w:jc w:val="both"/>
      </w:pPr>
      <w:r>
        <w:rPr>
          <w:rFonts w:ascii="Calibri" w:cs="Calibri" w:eastAsia="Calibri" w:hAnsi="Calibri"/>
          <w:b w:val="false"/>
          <w:bCs w:val="false"/>
          <w:i w:val="false"/>
          <w:iCs w:val="false"/>
          <w:caps w:val="false"/>
          <w:color w:val="334155"/>
          <w:sz w:val="22"/>
          <w:szCs w:val="22"/>
        </w:rPr>
        <w:t xml:space="preserve"/>
      </w:r>
    </w:p>
    <w:p>
      <w:pPr>
        <w:pStyle w:val="Heading2"/>
        <w:spacing w:after="110" w:before="300"/>
      </w:pPr>
      <w:r>
        <w:rPr>
          <w:rFonts w:ascii="Calibri" w:cs="Calibri" w:eastAsia="Calibri" w:hAnsi="Calibri"/>
          <w:b/>
          <w:bCs/>
          <w:i w:val="false"/>
          <w:iCs w:val="false"/>
          <w:caps w:val="false"/>
          <w:color w:val="0D2137"/>
          <w:sz w:val="24"/>
          <w:szCs w:val="24"/>
        </w:rPr>
        <w:t xml:space="preserve">3.2  Why five narrow agents rather than one broad one</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A single agent given 'go and update the assessment' as its instruction has to simultaneously decide where to look, what counts as a good answer, how confident to be, and whether to trust its own extraction over the existing value — four different kinds of judgment with four different failure modes, all invisible from the outside if something goes wrong. Splitting them means each stage produces an inspectable, structured output before the next stage runs, and a researcher can check the pipeline's work at exactly the point where they distrust it (usually the Extractor, occasionally the Rater) without re-verifying the whole chain.</w:t>
      </w:r>
    </w:p>
    <w:p>
      <w:pPr>
        <w:pStyle w:val="Heading2"/>
        <w:spacing w:after="110" w:before="300"/>
      </w:pPr>
      <w:r>
        <w:rPr>
          <w:rFonts w:ascii="Calibri" w:cs="Calibri" w:eastAsia="Calibri" w:hAnsi="Calibri"/>
          <w:b/>
          <w:bCs/>
          <w:i w:val="false"/>
          <w:iCs w:val="false"/>
          <w:caps w:val="false"/>
          <w:color w:val="0D2137"/>
          <w:sz w:val="24"/>
          <w:szCs w:val="24"/>
        </w:rPr>
        <w:t xml:space="preserve">3.3  Orchestration</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Stages 1-4 run as a scheduled batch per criterion, not continuously — there is no reason to re-check an EU regulation daily. Suggested cadence, matching Section 4.1 of the assessment document: Regulation criteria on a monthly scan (checking only for new Official Journal publications or agency announcements, which is cheap) with full re-extraction quarterly; Technology and Demand criteria on a quarterly scan with full re-extraction annually, aligned to when IEA/IRENA/BloombergNEF actually publish. Stage 5 (Reconciler) runs after every batch and produces a single review queue — a researcher works through proposed changes, not raw pipeline output.</w:t>
      </w:r>
    </w:p>
    <w:p>
      <w:pPr>
        <w:spacing w:after="0" w:before="0"/>
      </w:pPr>
      <w:r>
        <w:br w:type="page"/>
      </w:r>
    </w:p>
    <w:p>
      <w:pPr>
        <w:pStyle w:val="Heading1"/>
        <w:pBdr>
          <w:bottom w:val="single" w:color="0F5132" w:sz="6" w:space="4"/>
        </w:pBdr>
        <w:spacing w:after="160" w:before="420"/>
      </w:pPr>
      <w:r>
        <w:rPr>
          <w:rFonts w:ascii="Calibri" w:cs="Calibri" w:eastAsia="Calibri" w:hAnsi="Calibri"/>
          <w:b/>
          <w:bCs/>
          <w:i w:val="false"/>
          <w:iCs w:val="false"/>
          <w:caps w:val="false"/>
          <w:color w:val="0D2137"/>
          <w:sz w:val="28"/>
          <w:szCs w:val="28"/>
        </w:rPr>
        <w:t xml:space="preserve">4.  Source Registry</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Each of the 52 sources needs a registry entry beyond what the criteria schema already carries (name, publisher, series, data field) — the operational detail the Retriever needs to actually fetch it. This registry is a natural extension of the existing criteria_schema.json primary_sources array, adding the fields below to each source object.</w:t>
      </w:r>
    </w:p>
    <w:tbl>
      <w:tblPr>
        <w:tblW w:type="dxa" w:w="9186"/>
        <w:tblBorders>
          <w:top w:val="single" w:color="auto" w:sz="4"/>
          <w:left w:val="single" w:color="auto" w:sz="4"/>
          <w:bottom w:val="single" w:color="auto" w:sz="4"/>
          <w:right w:val="single" w:color="auto" w:sz="4"/>
          <w:insideH w:val="single" w:color="auto" w:sz="4"/>
          <w:insideV w:val="single" w:color="auto" w:sz="4"/>
        </w:tblBorders>
      </w:tblPr>
      <w:tblGrid>
        <w:gridCol w:w="2205"/>
        <w:gridCol w:w="4593"/>
        <w:gridCol w:w="2388"/>
      </w:tblGrid>
      <w:tr>
        <w:tc>
          <w:tcPr>
            <w:tcW w:type="dxa" w:w="2205"/>
            <w:tcBorders>
              <w:top w:val="single" w:color="CBD5E1" w:sz="2"/>
              <w:left w:val="single" w:color="CBD5E1" w:sz="2"/>
              <w:bottom w:val="single" w:color="CBD5E1" w:sz="2"/>
              <w:right w:val="single" w:color="CBD5E1" w:sz="2"/>
            </w:tcBorders>
            <w:shd w:fill="0D2137" w:val="clear"/>
            <w:tcMar>
              <w:top w:type="dxa" w:w="70"/>
              <w:left w:type="dxa" w:w="120"/>
              <w:bottom w:type="dxa" w:w="70"/>
              <w:right w:type="dxa" w:w="120"/>
            </w:tcMar>
            <w:vAlign w:val="center"/>
          </w:tcPr>
          <w:p>
            <w:pPr>
              <w:spacing w:after="0" w:before="0"/>
            </w:pPr>
            <w:r>
              <w:rPr>
                <w:rFonts w:ascii="Calibri" w:cs="Calibri" w:eastAsia="Calibri" w:hAnsi="Calibri"/>
                <w:b/>
                <w:bCs/>
                <w:i w:val="false"/>
                <w:iCs w:val="false"/>
                <w:caps/>
                <w:color w:val="FFFFFF"/>
                <w:spacing w:val="10"/>
                <w:sz w:val="17"/>
                <w:szCs w:val="17"/>
              </w:rPr>
              <w:t xml:space="preserve">Field</w:t>
            </w:r>
          </w:p>
        </w:tc>
        <w:tc>
          <w:tcPr>
            <w:tcW w:type="dxa" w:w="4593"/>
            <w:tcBorders>
              <w:top w:val="single" w:color="CBD5E1" w:sz="2"/>
              <w:left w:val="single" w:color="CBD5E1" w:sz="2"/>
              <w:bottom w:val="single" w:color="CBD5E1" w:sz="2"/>
              <w:right w:val="single" w:color="CBD5E1" w:sz="2"/>
            </w:tcBorders>
            <w:shd w:fill="0D2137" w:val="clear"/>
            <w:tcMar>
              <w:top w:type="dxa" w:w="70"/>
              <w:left w:type="dxa" w:w="120"/>
              <w:bottom w:type="dxa" w:w="70"/>
              <w:right w:type="dxa" w:w="120"/>
            </w:tcMar>
            <w:vAlign w:val="center"/>
          </w:tcPr>
          <w:p>
            <w:pPr>
              <w:spacing w:after="0" w:before="0"/>
            </w:pPr>
            <w:r>
              <w:rPr>
                <w:rFonts w:ascii="Calibri" w:cs="Calibri" w:eastAsia="Calibri" w:hAnsi="Calibri"/>
                <w:b/>
                <w:bCs/>
                <w:i w:val="false"/>
                <w:iCs w:val="false"/>
                <w:caps/>
                <w:color w:val="FFFFFF"/>
                <w:spacing w:val="10"/>
                <w:sz w:val="17"/>
                <w:szCs w:val="17"/>
              </w:rPr>
              <w:t xml:space="preserve">Purpose</w:t>
            </w:r>
          </w:p>
        </w:tc>
        <w:tc>
          <w:tcPr>
            <w:tcW w:type="dxa" w:w="2388"/>
            <w:tcBorders>
              <w:top w:val="single" w:color="CBD5E1" w:sz="2"/>
              <w:left w:val="single" w:color="CBD5E1" w:sz="2"/>
              <w:bottom w:val="single" w:color="CBD5E1" w:sz="2"/>
              <w:right w:val="single" w:color="CBD5E1" w:sz="2"/>
            </w:tcBorders>
            <w:shd w:fill="0D2137" w:val="clear"/>
            <w:tcMar>
              <w:top w:type="dxa" w:w="70"/>
              <w:left w:type="dxa" w:w="120"/>
              <w:bottom w:type="dxa" w:w="70"/>
              <w:right w:type="dxa" w:w="120"/>
            </w:tcMar>
            <w:vAlign w:val="center"/>
          </w:tcPr>
          <w:p>
            <w:pPr>
              <w:spacing w:after="0" w:before="0"/>
            </w:pPr>
            <w:r>
              <w:rPr>
                <w:rFonts w:ascii="Calibri" w:cs="Calibri" w:eastAsia="Calibri" w:hAnsi="Calibri"/>
                <w:b/>
                <w:bCs/>
                <w:i w:val="false"/>
                <w:iCs w:val="false"/>
                <w:caps/>
                <w:color w:val="FFFFFF"/>
                <w:spacing w:val="10"/>
                <w:sz w:val="17"/>
                <w:szCs w:val="17"/>
              </w:rPr>
              <w:t xml:space="preserve">Example</w:t>
            </w:r>
          </w:p>
        </w:tc>
      </w:tr>
      <w:tr>
        <w:tc>
          <w:tcPr>
            <w:tcW w:type="dxa" w:w="2205"/>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F5132"/>
                <w:sz w:val="17"/>
                <w:szCs w:val="17"/>
              </w:rPr>
              <w:t xml:space="preserve">access_pattern</w:t>
            </w:r>
          </w:p>
        </w:tc>
        <w:tc>
          <w:tcPr>
            <w:tcW w:type="dxa" w:w="4593"/>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One of the six types in Section 2. Determines which Retriever method is used.</w:t>
            </w:r>
          </w:p>
        </w:tc>
        <w:tc>
          <w:tcPr>
            <w:tcW w:type="dxa" w:w="2388"/>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iCs/>
                <w:caps w:val="false"/>
                <w:color w:val="64748B"/>
                <w:sz w:val="15"/>
                <w:szCs w:val="15"/>
              </w:rPr>
              <w:t xml:space="preserve">"periodic_pdf_report"</w:t>
            </w:r>
          </w:p>
        </w:tc>
      </w:tr>
      <w:tr>
        <w:tc>
          <w:tcPr>
            <w:tcW w:type="dxa" w:w="2205"/>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F5132"/>
                <w:sz w:val="17"/>
                <w:szCs w:val="17"/>
              </w:rPr>
              <w:t xml:space="preserve">fetch_url_or_endpoint</w:t>
            </w:r>
          </w:p>
        </w:tc>
        <w:tc>
          <w:tcPr>
            <w:tcW w:type="dxa" w:w="4593"/>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The actual URL, API endpoint, or a search query pattern where the URL is not stable year to year.</w:t>
            </w:r>
          </w:p>
        </w:tc>
        <w:tc>
          <w:tcPr>
            <w:tcW w:type="dxa" w:w="2388"/>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iCs/>
                <w:caps w:val="false"/>
                <w:color w:val="64748B"/>
                <w:sz w:val="15"/>
                <w:szCs w:val="15"/>
              </w:rPr>
              <w:t xml:space="preserve">"iea.org/reports/global-hydrogen-review-{year}"</w:t>
            </w:r>
          </w:p>
        </w:tc>
      </w:tr>
      <w:tr>
        <w:tc>
          <w:tcPr>
            <w:tcW w:type="dxa" w:w="2205"/>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F5132"/>
                <w:sz w:val="17"/>
                <w:szCs w:val="17"/>
              </w:rPr>
              <w:t xml:space="preserve">expected_refresh_cadence</w:t>
            </w:r>
          </w:p>
        </w:tc>
        <w:tc>
          <w:tcPr>
            <w:tcW w:type="dxa" w:w="4593"/>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How often the source itself publishes new data — not how often the pipeline checks it.</w:t>
            </w:r>
          </w:p>
        </w:tc>
        <w:tc>
          <w:tcPr>
            <w:tcW w:type="dxa" w:w="2388"/>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iCs/>
                <w:caps w:val="false"/>
                <w:color w:val="64748B"/>
                <w:sz w:val="15"/>
                <w:szCs w:val="15"/>
              </w:rPr>
              <w:t xml:space="preserve">"annual", "quarterly", "continuous"</w:t>
            </w:r>
          </w:p>
        </w:tc>
      </w:tr>
      <w:tr>
        <w:tc>
          <w:tcPr>
            <w:tcW w:type="dxa" w:w="2205"/>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F5132"/>
                <w:sz w:val="17"/>
                <w:szCs w:val="17"/>
              </w:rPr>
              <w:t xml:space="preserve">last_successful_retrieval</w:t>
            </w:r>
          </w:p>
        </w:tc>
        <w:tc>
          <w:tcPr>
            <w:tcW w:type="dxa" w:w="4593"/>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Timestamp of the last time the Retriever successfully got a document from this source.</w:t>
            </w:r>
          </w:p>
        </w:tc>
        <w:tc>
          <w:tcPr>
            <w:tcW w:type="dxa" w:w="2388"/>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iCs/>
                <w:caps w:val="false"/>
                <w:color w:val="64748B"/>
                <w:sz w:val="15"/>
                <w:szCs w:val="15"/>
              </w:rPr>
              <w:t xml:space="preserve">ISO 8601 datetime</w:t>
            </w:r>
          </w:p>
        </w:tc>
      </w:tr>
      <w:tr>
        <w:tc>
          <w:tcPr>
            <w:tcW w:type="dxa" w:w="2205"/>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F5132"/>
                <w:sz w:val="17"/>
                <w:szCs w:val="17"/>
              </w:rPr>
              <w:t xml:space="preserve">extraction_method</w:t>
            </w:r>
          </w:p>
        </w:tc>
        <w:tc>
          <w:tcPr>
            <w:tcW w:type="dxa" w:w="4593"/>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Which Extractor logic applies: structured_parse, pdf_table_extraction, legal_clause_extraction, llm_qa_extraction.</w:t>
            </w:r>
          </w:p>
        </w:tc>
        <w:tc>
          <w:tcPr>
            <w:tcW w:type="dxa" w:w="2388"/>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iCs/>
                <w:caps w:val="false"/>
                <w:color w:val="64748B"/>
                <w:sz w:val="15"/>
                <w:szCs w:val="15"/>
              </w:rPr>
              <w:t xml:space="preserve">"pdf_table_extraction"</w:t>
            </w:r>
          </w:p>
        </w:tc>
      </w:tr>
      <w:tr>
        <w:tc>
          <w:tcPr>
            <w:tcW w:type="dxa" w:w="2205"/>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F5132"/>
                <w:sz w:val="17"/>
                <w:szCs w:val="17"/>
              </w:rPr>
              <w:t xml:space="preserve">access_constraints</w:t>
            </w:r>
          </w:p>
        </w:tc>
        <w:tc>
          <w:tcPr>
            <w:tcW w:type="dxa" w:w="4593"/>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Paywall, registration requirement, rate limit, or language barrier that affects retrieval reliability.</w:t>
            </w:r>
          </w:p>
        </w:tc>
        <w:tc>
          <w:tcPr>
            <w:tcW w:type="dxa" w:w="2388"/>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iCs/>
                <w:caps w:val="false"/>
                <w:color w:val="64748B"/>
                <w:sz w:val="15"/>
                <w:szCs w:val="15"/>
              </w:rPr>
              <w:t xml:space="preserve">"subscription required for full dataset"</w:t>
            </w:r>
          </w:p>
        </w:tc>
      </w:tr>
      <w:tr>
        <w:tc>
          <w:tcPr>
            <w:tcW w:type="dxa" w:w="2205"/>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F5132"/>
                <w:sz w:val="17"/>
                <w:szCs w:val="17"/>
              </w:rPr>
              <w:t xml:space="preserve">fallback_source</w:t>
            </w:r>
          </w:p>
        </w:tc>
        <w:tc>
          <w:tcPr>
            <w:tcW w:type="dxa" w:w="4593"/>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A secondary source for the same criterion, used when the primary fails or to cross-check a surprising value.</w:t>
            </w:r>
          </w:p>
        </w:tc>
        <w:tc>
          <w:tcPr>
            <w:tcW w:type="dxa" w:w="2388"/>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iCs/>
                <w:caps w:val="false"/>
                <w:color w:val="64748B"/>
                <w:sz w:val="15"/>
                <w:szCs w:val="15"/>
              </w:rPr>
              <w:t xml:space="preserve">Reference to another source object</w:t>
            </w:r>
          </w:p>
        </w:tc>
      </w:tr>
    </w:tbl>
    <w:p>
      <w:pPr>
        <w:spacing w:after="100" w:before="0" w:line="282" w:lineRule="auto"/>
        <w:jc w:val="both"/>
      </w:pPr>
      <w:r>
        <w:rPr>
          <w:rFonts w:ascii="Calibri" w:cs="Calibri" w:eastAsia="Calibri" w:hAnsi="Calibri"/>
          <w:b w:val="false"/>
          <w:bCs w:val="false"/>
          <w:i w:val="false"/>
          <w:iCs w:val="false"/>
          <w:caps w:val="false"/>
          <w:color w:val="334155"/>
          <w:sz w:val="22"/>
          <w:szCs w:val="22"/>
        </w:rPr>
        <w:t xml:space="preserve"/>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This registry is substantially built, not purely theoretical: 88 of 95 source entries across the 35-criteria schema now carry a verified, checked locator (source_registry.json), built through direct retrieval against each primary publisher — EUR-Lex for every EU legal instrument, official agency pages for US and China sources, and named report pages for IEA, IRENA, USGS, World Bank, NGFS, and IPCC data. The remaining 7 are company-disclosure sources, correctly left as a methodology note rather than a fake single URL, since the relevant company varies by which entity is being assessed. Building this registry was the first implementation task, exactly as anticipated — what remains is not building the registry but building the Retriever logic that consumes it, and keeping the registry itself current as sources change.</w:t>
      </w:r>
    </w:p>
    <w:p>
      <w:pPr>
        <w:spacing w:after="0" w:before="0"/>
      </w:pPr>
      <w:r>
        <w:br w:type="page"/>
      </w:r>
    </w:p>
    <w:p>
      <w:pPr>
        <w:pStyle w:val="Heading1"/>
        <w:pBdr>
          <w:bottom w:val="single" w:color="0F5132" w:sz="6" w:space="4"/>
        </w:pBdr>
        <w:spacing w:after="160" w:before="420"/>
      </w:pPr>
      <w:r>
        <w:rPr>
          <w:rFonts w:ascii="Calibri" w:cs="Calibri" w:eastAsia="Calibri" w:hAnsi="Calibri"/>
          <w:b/>
          <w:bCs/>
          <w:i w:val="false"/>
          <w:iCs w:val="false"/>
          <w:caps w:val="false"/>
          <w:color w:val="0D2137"/>
          <w:sz w:val="28"/>
          <w:szCs w:val="28"/>
        </w:rPr>
        <w:t xml:space="preserve">5.  Extraction Logic by Source Type</w:t>
      </w:r>
    </w:p>
    <w:p>
      <w:pPr>
        <w:pStyle w:val="Heading2"/>
        <w:spacing w:after="110" w:before="300"/>
      </w:pPr>
      <w:r>
        <w:rPr>
          <w:rFonts w:ascii="Calibri" w:cs="Calibri" w:eastAsia="Calibri" w:hAnsi="Calibri"/>
          <w:b/>
          <w:bCs/>
          <w:i w:val="false"/>
          <w:iCs w:val="false"/>
          <w:caps w:val="false"/>
          <w:color w:val="0D2137"/>
          <w:sz w:val="24"/>
          <w:szCs w:val="24"/>
        </w:rPr>
        <w:t xml:space="preserve">5.1  Structured API / dashboard</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Direct query against the documented endpoint or a structured CSV/JSON export. No LLM extraction step needed — the Extractor's job is field mapping (which API field corresponds to which criterion) rather than reading comprehension. This is the only source type where the pipeline can run essentially unattended once the field mapping is built and tested. Two sources added in the second verification pass belong squarely in this category and materially strengthen it: the NGFS Scenario Explorer (hosted by IIASA) provides the carbon price trajectories that several Regulation-criteria rubrics benchmark against, downloadable directly in CSV/XLSX rather than requiring PDF extraction from an NGFS report; and Climate Change Laws of the World (LSE Grantham / Sabin Center / Climate Policy Radar) offers full-text search across 9,000+ national climate laws and policies, which is a genuinely better access point for weak single-country government sources than searching individual ministry websites in the original language.</w:t>
      </w:r>
    </w:p>
    <w:p>
      <w:pPr>
        <w:pStyle w:val="Heading2"/>
        <w:spacing w:after="110" w:before="300"/>
      </w:pPr>
      <w:r>
        <w:rPr>
          <w:rFonts w:ascii="Calibri" w:cs="Calibri" w:eastAsia="Calibri" w:hAnsi="Calibri"/>
          <w:b/>
          <w:bCs/>
          <w:i w:val="false"/>
          <w:iCs w:val="false"/>
          <w:caps w:val="false"/>
          <w:color w:val="0D2137"/>
          <w:sz w:val="24"/>
          <w:szCs w:val="24"/>
        </w:rPr>
        <w:t xml:space="preserve">5.2  Periodic institutional PDF report</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These reports (IEA, IRENA, BloombergNEF, Lazard, and — for technology-pathway criteria — the Energy Transitions Commission's Mission Possible report and IPCC AR6 Working Group III) are long but well-structured, and the specific figure a criterion needs is usually in a named table or chart that recurs in the same report series year to year. The Extractor should be given the specific table name or chart title to locate (established once per source, during registry-building, by a human who reads the current edition) rather than asked to find the number cold each time — 'find the LCOE comparison table' is a much more reliable instruction than 'find the cost of solar in this 200-page document.' IPCC WG3 plays a distinct role here: it is not typically the primary source for a rating, but a sense-check layer — where a vendor or company claims an abatement cost far outside the IPCC-assessed range for that technology, that gap is itself worth flagging to a researcher rather than silently accepting the more optimistic figure. When a report's structure changes year to year (which happens), the pipeline should flag a structural-mismatch error rather than guess.</w:t>
      </w:r>
    </w:p>
    <w:p>
      <w:pPr>
        <w:pStyle w:val="Heading2"/>
        <w:spacing w:after="110" w:before="300"/>
      </w:pPr>
      <w:r>
        <w:rPr>
          <w:rFonts w:ascii="Calibri" w:cs="Calibri" w:eastAsia="Calibri" w:hAnsi="Calibri"/>
          <w:b/>
          <w:bCs/>
          <w:i w:val="false"/>
          <w:iCs w:val="false"/>
          <w:caps w:val="false"/>
          <w:color w:val="0D2137"/>
          <w:sz w:val="24"/>
          <w:szCs w:val="24"/>
        </w:rPr>
        <w:t xml:space="preserve">5.3  Legal / regulatory text</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EU regulations and similar legal texts are precise but not written for data extraction — a blending mandate percentage might be in an annex table, a definitional article, or a delegated act amending the original text. The Extractor here benefits from a two-step approach: first locate the relevant article/annex using the regulation's table of contents (legal texts are well-indexed), then extract the specific figure from that narrowed section. This is more reliable than a single-pass search across the full text, and it produces a citation (article/annex number) that is genuinely useful for a human checking the work.</w:t>
      </w:r>
    </w:p>
    <w:p>
      <w:pPr>
        <w:pStyle w:val="Heading2"/>
        <w:spacing w:after="110" w:before="300"/>
      </w:pPr>
      <w:r>
        <w:rPr>
          <w:rFonts w:ascii="Calibri" w:cs="Calibri" w:eastAsia="Calibri" w:hAnsi="Calibri"/>
          <w:b/>
          <w:bCs/>
          <w:i w:val="false"/>
          <w:iCs w:val="false"/>
          <w:caps w:val="false"/>
          <w:color w:val="0D2137"/>
          <w:sz w:val="24"/>
          <w:szCs w:val="24"/>
        </w:rPr>
        <w:t xml:space="preserve">5.4  Government agency publication</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Reliability here depends heavily on the specific agency's publishing practices, which vary enormously — some (EU Commission DG CLIMA) publish in a consistent, indexed format; others (many single-country agencies) publish as ad hoc press releases or PDFs with no consistent structure. For Chinese-language sources specifically, the Extractor needs a domain-term glossary (mapping Chinese regulatory/technical terms to their English equivalents used in the criteria schema) built and validated by a researcher, not machine-translated on the fly — a mistranslated threshold is worse than a flagged gap.</w:t>
      </w:r>
    </w:p>
    <w:p>
      <w:pPr>
        <w:pStyle w:val="Heading2"/>
        <w:spacing w:after="110" w:before="300"/>
      </w:pPr>
      <w:r>
        <w:rPr>
          <w:rFonts w:ascii="Calibri" w:cs="Calibri" w:eastAsia="Calibri" w:hAnsi="Calibri"/>
          <w:b/>
          <w:bCs/>
          <w:i w:val="false"/>
          <w:iCs w:val="false"/>
          <w:caps w:val="false"/>
          <w:color w:val="0D2137"/>
          <w:sz w:val="24"/>
          <w:szCs w:val="24"/>
        </w:rPr>
        <w:t xml:space="preserve">5.5  Industry tracker / consortium database</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Where these trackers (Global CCS Institute, Clarksons, DNV, Getting to Zero Coalition) offer any structured export or API, use it — they have already done the hard work of aggregating primary data, and re-deriving their numbers from scratch would be redundant and less reliable than their own curated figures. Where they are subscription-gated, this is a source where a paid data licence is likely the more efficient path than building scraping infrastructure against a service designed to prevent it.</w:t>
      </w:r>
    </w:p>
    <w:p>
      <w:pPr>
        <w:pStyle w:val="Heading2"/>
        <w:spacing w:after="110" w:before="300"/>
      </w:pPr>
      <w:r>
        <w:rPr>
          <w:rFonts w:ascii="Calibri" w:cs="Calibri" w:eastAsia="Calibri" w:hAnsi="Calibri"/>
          <w:b/>
          <w:bCs/>
          <w:i w:val="false"/>
          <w:iCs w:val="false"/>
          <w:caps w:val="false"/>
          <w:color w:val="0D2137"/>
          <w:sz w:val="24"/>
          <w:szCs w:val="24"/>
        </w:rPr>
        <w:t xml:space="preserve">5.6  Company disclosure (unstructured)</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This is the source type least suited to unattended automation and the one requiring the most explicit human-in-the-loop design. The realistic pipeline role here is not extraction but discovery and triage: monitor a defined list of company investor-relations pages and filing feeds, use an LLM to screen newly published documents (annual reports, capital markets day decks, press releases) for passages relevant to a specific criterion, and surface those passages to a researcher rather than attempting to auto-extract a final number. The Extractor's output for this source type should always carry Low or Medium confidence, never High, regardless of how clean the extracted passage looks — company disclosure format and location changes too often for the pipeline to earn a higher tier automatically.</w:t>
      </w:r>
    </w:p>
    <w:p>
      <w:pPr>
        <w:spacing w:after="0" w:before="0"/>
      </w:pPr>
      <w:r>
        <w:br w:type="page"/>
      </w:r>
    </w:p>
    <w:p>
      <w:pPr>
        <w:pStyle w:val="Heading1"/>
        <w:pBdr>
          <w:bottom w:val="single" w:color="0F5132" w:sz="6" w:space="4"/>
        </w:pBdr>
        <w:spacing w:after="160" w:before="420"/>
      </w:pPr>
      <w:r>
        <w:rPr>
          <w:rFonts w:ascii="Calibri" w:cs="Calibri" w:eastAsia="Calibri" w:hAnsi="Calibri"/>
          <w:b/>
          <w:bCs/>
          <w:i w:val="false"/>
          <w:iCs w:val="false"/>
          <w:caps w:val="false"/>
          <w:color w:val="0D2137"/>
          <w:sz w:val="28"/>
          <w:szCs w:val="28"/>
        </w:rPr>
        <w:t xml:space="preserve">6.  Confidence, Staleness, and Conflict Handling</w:t>
      </w:r>
    </w:p>
    <w:p>
      <w:pPr>
        <w:pStyle w:val="Heading2"/>
        <w:spacing w:after="110" w:before="300"/>
      </w:pPr>
      <w:r>
        <w:rPr>
          <w:rFonts w:ascii="Calibri" w:cs="Calibri" w:eastAsia="Calibri" w:hAnsi="Calibri"/>
          <w:b/>
          <w:bCs/>
          <w:i w:val="false"/>
          <w:iCs w:val="false"/>
          <w:caps w:val="false"/>
          <w:color w:val="0D2137"/>
          <w:sz w:val="24"/>
          <w:szCs w:val="24"/>
        </w:rPr>
        <w:t xml:space="preserve">6.1  Confidence assignment logic</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The three confidence tiers already used in assessment_scores.json (high / medium / low) map onto pipeline behaviour, not just source age, as follows:</w:t>
      </w:r>
    </w:p>
    <w:tbl>
      <w:tblPr>
        <w:tblW w:type="dxa" w:w="9186"/>
        <w:tblBorders>
          <w:top w:val="single" w:color="auto" w:sz="4"/>
          <w:left w:val="single" w:color="auto" w:sz="4"/>
          <w:bottom w:val="single" w:color="auto" w:sz="4"/>
          <w:right w:val="single" w:color="auto" w:sz="4"/>
          <w:insideH w:val="single" w:color="auto" w:sz="4"/>
          <w:insideV w:val="single" w:color="auto" w:sz="4"/>
        </w:tblBorders>
      </w:tblPr>
      <w:tblGrid>
        <w:gridCol w:w="1102"/>
        <w:gridCol w:w="4593"/>
        <w:gridCol w:w="3491"/>
      </w:tblGrid>
      <w:tr>
        <w:tc>
          <w:tcPr>
            <w:tcW w:type="dxa" w:w="1102"/>
            <w:tcBorders>
              <w:top w:val="single" w:color="CBD5E1" w:sz="2"/>
              <w:left w:val="single" w:color="CBD5E1" w:sz="2"/>
              <w:bottom w:val="single" w:color="CBD5E1" w:sz="2"/>
              <w:right w:val="single" w:color="CBD5E1" w:sz="2"/>
            </w:tcBorders>
            <w:shd w:fill="0D2137" w:val="clear"/>
            <w:tcMar>
              <w:top w:type="dxa" w:w="70"/>
              <w:left w:type="dxa" w:w="120"/>
              <w:bottom w:type="dxa" w:w="70"/>
              <w:right w:type="dxa" w:w="120"/>
            </w:tcMar>
            <w:vAlign w:val="center"/>
          </w:tcPr>
          <w:p>
            <w:pPr>
              <w:spacing w:after="0" w:before="0"/>
            </w:pPr>
            <w:r>
              <w:rPr>
                <w:rFonts w:ascii="Calibri" w:cs="Calibri" w:eastAsia="Calibri" w:hAnsi="Calibri"/>
                <w:b/>
                <w:bCs/>
                <w:i w:val="false"/>
                <w:iCs w:val="false"/>
                <w:caps/>
                <w:color w:val="FFFFFF"/>
                <w:spacing w:val="10"/>
                <w:sz w:val="17"/>
                <w:szCs w:val="17"/>
              </w:rPr>
              <w:t xml:space="preserve">Tier</w:t>
            </w:r>
          </w:p>
        </w:tc>
        <w:tc>
          <w:tcPr>
            <w:tcW w:type="dxa" w:w="4593"/>
            <w:tcBorders>
              <w:top w:val="single" w:color="CBD5E1" w:sz="2"/>
              <w:left w:val="single" w:color="CBD5E1" w:sz="2"/>
              <w:bottom w:val="single" w:color="CBD5E1" w:sz="2"/>
              <w:right w:val="single" w:color="CBD5E1" w:sz="2"/>
            </w:tcBorders>
            <w:shd w:fill="0D2137" w:val="clear"/>
            <w:tcMar>
              <w:top w:type="dxa" w:w="70"/>
              <w:left w:type="dxa" w:w="120"/>
              <w:bottom w:type="dxa" w:w="70"/>
              <w:right w:type="dxa" w:w="120"/>
            </w:tcMar>
            <w:vAlign w:val="center"/>
          </w:tcPr>
          <w:p>
            <w:pPr>
              <w:spacing w:after="0" w:before="0"/>
            </w:pPr>
            <w:r>
              <w:rPr>
                <w:rFonts w:ascii="Calibri" w:cs="Calibri" w:eastAsia="Calibri" w:hAnsi="Calibri"/>
                <w:b/>
                <w:bCs/>
                <w:i w:val="false"/>
                <w:iCs w:val="false"/>
                <w:caps/>
                <w:color w:val="FFFFFF"/>
                <w:spacing w:val="10"/>
                <w:sz w:val="17"/>
                <w:szCs w:val="17"/>
              </w:rPr>
              <w:t xml:space="preserve">Assigned when</w:t>
            </w:r>
          </w:p>
        </w:tc>
        <w:tc>
          <w:tcPr>
            <w:tcW w:type="dxa" w:w="3491"/>
            <w:tcBorders>
              <w:top w:val="single" w:color="CBD5E1" w:sz="2"/>
              <w:left w:val="single" w:color="CBD5E1" w:sz="2"/>
              <w:bottom w:val="single" w:color="CBD5E1" w:sz="2"/>
              <w:right w:val="single" w:color="CBD5E1" w:sz="2"/>
            </w:tcBorders>
            <w:shd w:fill="0D2137" w:val="clear"/>
            <w:tcMar>
              <w:top w:type="dxa" w:w="70"/>
              <w:left w:type="dxa" w:w="120"/>
              <w:bottom w:type="dxa" w:w="70"/>
              <w:right w:type="dxa" w:w="120"/>
            </w:tcMar>
            <w:vAlign w:val="center"/>
          </w:tcPr>
          <w:p>
            <w:pPr>
              <w:spacing w:after="0" w:before="0"/>
            </w:pPr>
            <w:r>
              <w:rPr>
                <w:rFonts w:ascii="Calibri" w:cs="Calibri" w:eastAsia="Calibri" w:hAnsi="Calibri"/>
                <w:b/>
                <w:bCs/>
                <w:i w:val="false"/>
                <w:iCs w:val="false"/>
                <w:caps/>
                <w:color w:val="FFFFFF"/>
                <w:spacing w:val="10"/>
                <w:sz w:val="17"/>
                <w:szCs w:val="17"/>
              </w:rPr>
              <w:t xml:space="preserve">Pipeline behaviour</w:t>
            </w:r>
          </w:p>
        </w:tc>
      </w:tr>
      <w:tr>
        <w:tc>
          <w:tcPr>
            <w:tcW w:type="dxa" w:w="1102"/>
            <w:tcBorders>
              <w:top w:val="single" w:color="CBD5E1" w:sz="2"/>
              <w:left w:val="single" w:color="CBD5E1" w:sz="2"/>
              <w:bottom w:val="single" w:color="CBD5E1" w:sz="2"/>
              <w:right w:val="single" w:color="CBD5E1" w:sz="2"/>
            </w:tcBorders>
            <w:shd w:fill="D1FAE5"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65F46"/>
                <w:sz w:val="18"/>
                <w:szCs w:val="18"/>
              </w:rPr>
              <w:t xml:space="preserve">High</w:t>
            </w:r>
          </w:p>
        </w:tc>
        <w:tc>
          <w:tcPr>
            <w:tcW w:type="dxa" w:w="4593"/>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Source type is structured API or a legal text with an unambiguous figure, retrieved within the last 12 months, extraction required no LLM judgment step (pure field mapping or clause lookup).</w:t>
            </w:r>
          </w:p>
        </w:tc>
        <w:tc>
          <w:tcPr>
            <w:tcW w:type="dxa" w:w="3491"/>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Auto-update the Assessment Matrix cell; log the change; no mandatory human review before it goes live, though it appears in the weekly digest.</w:t>
            </w:r>
          </w:p>
        </w:tc>
      </w:tr>
      <w:tr>
        <w:tc>
          <w:tcPr>
            <w:tcW w:type="dxa" w:w="1102"/>
            <w:tcBorders>
              <w:top w:val="single" w:color="CBD5E1" w:sz="2"/>
              <w:left w:val="single" w:color="CBD5E1" w:sz="2"/>
              <w:bottom w:val="single" w:color="CBD5E1" w:sz="2"/>
              <w:right w:val="single" w:color="CBD5E1" w:sz="2"/>
            </w:tcBorders>
            <w:shd w:fill="FEF3C7"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92400E"/>
                <w:sz w:val="18"/>
                <w:szCs w:val="18"/>
              </w:rPr>
              <w:t xml:space="preserve">Medium</w:t>
            </w:r>
          </w:p>
        </w:tc>
        <w:tc>
          <w:tcPr>
            <w:tcW w:type="dxa" w:w="4593"/>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Source is a periodic report or government publication successfully parsed, or a structured source older than 12 months, or an LLM extraction step was needed but produced a single unambiguous candidate value.</w:t>
            </w:r>
          </w:p>
        </w:tc>
        <w:tc>
          <w:tcPr>
            <w:tcW w:type="dxa" w:w="3491"/>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Update proposed but held in the review queue until a researcher confirms — default assumption is that it is probably right, but not auto-committed.</w:t>
            </w:r>
          </w:p>
        </w:tc>
      </w:tr>
      <w:tr>
        <w:tc>
          <w:tcPr>
            <w:tcW w:type="dxa" w:w="1102"/>
            <w:tcBorders>
              <w:top w:val="single" w:color="CBD5E1" w:sz="2"/>
              <w:left w:val="single" w:color="CBD5E1" w:sz="2"/>
              <w:bottom w:val="single" w:color="CBD5E1" w:sz="2"/>
              <w:right w:val="single" w:color="CBD5E1" w:sz="2"/>
            </w:tcBorders>
            <w:shd w:fill="FEE2E2"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7F1D1D"/>
                <w:sz w:val="18"/>
                <w:szCs w:val="18"/>
              </w:rPr>
              <w:t xml:space="preserve">Low</w:t>
            </w:r>
          </w:p>
        </w:tc>
        <w:tc>
          <w:tcPr>
            <w:tcW w:type="dxa" w:w="4593"/>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Source is a company disclosure, a source with access constraints that degraded the retrieval, an LLM extraction that produced ambiguous or multiple candidate values, or any criterion where no source could be retrieved at all this cycle.</w:t>
            </w:r>
          </w:p>
        </w:tc>
        <w:tc>
          <w:tcPr>
            <w:tcW w:type="dxa" w:w="3491"/>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Never auto-updates the assessment. Surfaced as a flagged research task with whatever partial evidence the pipeline found, for a human to resolve.</w:t>
            </w:r>
          </w:p>
        </w:tc>
      </w:tr>
    </w:tbl>
    <w:p>
      <w:pPr>
        <w:spacing w:after="120" w:before="0" w:line="282" w:lineRule="auto"/>
        <w:jc w:val="both"/>
      </w:pPr>
      <w:r>
        <w:rPr>
          <w:rFonts w:ascii="Calibri" w:cs="Calibri" w:eastAsia="Calibri" w:hAnsi="Calibri"/>
          <w:b w:val="false"/>
          <w:bCs w:val="false"/>
          <w:i w:val="false"/>
          <w:iCs w:val="false"/>
          <w:caps w:val="false"/>
          <w:color w:val="334155"/>
          <w:sz w:val="22"/>
          <w:szCs w:val="22"/>
        </w:rPr>
        <w:t xml:space="preserve"/>
      </w:r>
    </w:p>
    <w:p>
      <w:pPr>
        <w:pStyle w:val="Heading2"/>
        <w:spacing w:after="110" w:before="300"/>
      </w:pPr>
      <w:r>
        <w:rPr>
          <w:rFonts w:ascii="Calibri" w:cs="Calibri" w:eastAsia="Calibri" w:hAnsi="Calibri"/>
          <w:b/>
          <w:bCs/>
          <w:i w:val="false"/>
          <w:iCs w:val="false"/>
          <w:caps w:val="false"/>
          <w:color w:val="0D2137"/>
          <w:sz w:val="24"/>
          <w:szCs w:val="24"/>
        </w:rPr>
        <w:t xml:space="preserve">6.2  Staleness handling</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Every source registry entry carries an expected_refresh_cadence (Section 4). When a source has not been successfully re-checked within roughly 1.5x its expected cadence — an annual IEA report not re-verified in 18 months, for instance — the corresponding Assessment Matrix cells should be visually flagged as stale (a distinct shading, separate from the rating colour) regardless of what confidence tier they were assigned at last check. Staleness is a property of time elapsed, not of the original extraction quality, and the two should never be conflated in the display.</w:t>
      </w:r>
    </w:p>
    <w:p>
      <w:pPr>
        <w:pStyle w:val="Heading2"/>
        <w:spacing w:after="110" w:before="300"/>
      </w:pPr>
      <w:r>
        <w:rPr>
          <w:rFonts w:ascii="Calibri" w:cs="Calibri" w:eastAsia="Calibri" w:hAnsi="Calibri"/>
          <w:b/>
          <w:bCs/>
          <w:i w:val="false"/>
          <w:iCs w:val="false"/>
          <w:caps w:val="false"/>
          <w:color w:val="0D2137"/>
          <w:sz w:val="24"/>
          <w:szCs w:val="24"/>
        </w:rPr>
        <w:t xml:space="preserve">6.3  Conflict handling</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Two situations count as a conflict and both route to mandatory human review rather than any automatic resolution rule: first, when a newly extracted value would change a rating's H/M/L classification (as opposed to refining the evidence text without changing the rating) — this is exactly the situation where an extraction error is most costly, so the bar for auto-committing is highest. Second, when a primary source and its registered fallback source (Section 4) disagree on the same criterion — the pipeline should never pick one silently; it should present both figures, both citations, and let a researcher decide which reflects the current state of play, or whether the disagreement itself is the finding worth recording.</w:t>
      </w:r>
    </w:p>
    <w:p>
      <w:pPr>
        <w:pBdr>
          <w:left w:val="single" w:color="0F5132" w:sz="18" w:space="16"/>
        </w:pBdr>
        <w:spacing w:after="220" w:before="220"/>
        <w:ind w:left="480"/>
        <w:jc w:val="left"/>
      </w:pPr>
      <w:r>
        <w:rPr>
          <w:rFonts w:ascii="Calibri" w:cs="Calibri" w:eastAsia="Calibri" w:hAnsi="Calibri"/>
          <w:b/>
          <w:bCs/>
          <w:i w:val="false"/>
          <w:iCs w:val="false"/>
          <w:caps w:val="false"/>
          <w:color w:val="0D2137"/>
          <w:sz w:val="24"/>
          <w:szCs w:val="24"/>
        </w:rPr>
        <w:t xml:space="preserve">The pipeline's job is to make disagreement visible, not to make it disappear. A silently resolved conflict is a worse outcome than a flagged one.</w:t>
      </w:r>
    </w:p>
    <w:p>
      <w:pPr>
        <w:spacing w:after="0" w:before="0"/>
      </w:pPr>
      <w:r>
        <w:br w:type="page"/>
      </w:r>
    </w:p>
    <w:p>
      <w:pPr>
        <w:pStyle w:val="Heading1"/>
        <w:pBdr>
          <w:bottom w:val="single" w:color="0F5132" w:sz="6" w:space="4"/>
        </w:pBdr>
        <w:spacing w:after="160" w:before="420"/>
      </w:pPr>
      <w:r>
        <w:rPr>
          <w:rFonts w:ascii="Calibri" w:cs="Calibri" w:eastAsia="Calibri" w:hAnsi="Calibri"/>
          <w:b/>
          <w:bCs/>
          <w:i w:val="false"/>
          <w:iCs w:val="false"/>
          <w:caps w:val="false"/>
          <w:color w:val="0D2137"/>
          <w:sz w:val="28"/>
          <w:szCs w:val="28"/>
        </w:rPr>
        <w:t xml:space="preserve">7.  Human-in-the-Loop Design</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Full automation is not the goal for every criterion — Section 2 already established that roughly 30% of the current baseline rests on sources where automated extraction is unreliable by nature. The design question is where human time is spent, not whether it is spent at all.</w:t>
      </w:r>
    </w:p>
    <w:p>
      <w:pPr>
        <w:pStyle w:val="Heading2"/>
        <w:spacing w:after="110" w:before="300"/>
      </w:pPr>
      <w:r>
        <w:rPr>
          <w:rFonts w:ascii="Calibri" w:cs="Calibri" w:eastAsia="Calibri" w:hAnsi="Calibri"/>
          <w:b/>
          <w:bCs/>
          <w:i w:val="false"/>
          <w:iCs w:val="false"/>
          <w:caps w:val="false"/>
          <w:color w:val="0D2137"/>
          <w:sz w:val="24"/>
          <w:szCs w:val="24"/>
        </w:rPr>
        <w:t xml:space="preserve">7.1  The weekly review queue</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Rather than a researcher checking each of the 105 cells on a fixed schedule, the Reconciler stage (Section 3.1) produces a single prioritised queue: proposed changes at Medium confidence (need confirmation), flagged gaps at Low confidence (need research), and staleness flags (need a refresh check). This turns the recurring workload from 'review everything periodically' into 'review what the pipeline could not resolve on its own' — the queue should shrink as source registry coverage and extraction logic mature, giving a direct, visible measure of how much of the process has actually been automated.</w:t>
      </w:r>
    </w:p>
    <w:p>
      <w:pPr>
        <w:pStyle w:val="Heading2"/>
        <w:spacing w:after="110" w:before="300"/>
      </w:pPr>
      <w:r>
        <w:rPr>
          <w:rFonts w:ascii="Calibri" w:cs="Calibri" w:eastAsia="Calibri" w:hAnsi="Calibri"/>
          <w:b/>
          <w:bCs/>
          <w:i w:val="false"/>
          <w:iCs w:val="false"/>
          <w:caps w:val="false"/>
          <w:color w:val="0D2137"/>
          <w:sz w:val="24"/>
          <w:szCs w:val="24"/>
        </w:rPr>
        <w:t xml:space="preserve">7.2  What a researcher does at each queue item</w:t>
      </w:r>
    </w:p>
    <w:p>
      <w:pPr>
        <w:pStyle w:val="ListParagraph"/>
        <w:numPr>
          <w:ilvl w:val="0"/>
          <w:numId w:val="2"/>
        </w:numPr>
        <w:spacing w:after="80" w:before="40"/>
      </w:pPr>
      <w:r>
        <w:rPr>
          <w:rFonts w:ascii="Calibri" w:cs="Calibri" w:eastAsia="Calibri" w:hAnsi="Calibri"/>
          <w:b/>
          <w:bCs/>
          <w:i w:val="false"/>
          <w:iCs w:val="false"/>
          <w:caps w:val="false"/>
          <w:color w:val="334155"/>
          <w:sz w:val="22"/>
          <w:szCs w:val="22"/>
        </w:rPr>
        <w:t xml:space="preserve">Confirm: </w:t>
      </w:r>
      <w:r>
        <w:rPr>
          <w:rFonts w:ascii="Calibri" w:cs="Calibri" w:eastAsia="Calibri" w:hAnsi="Calibri"/>
          <w:b w:val="false"/>
          <w:bCs w:val="false"/>
          <w:i w:val="false"/>
          <w:iCs w:val="false"/>
          <w:caps w:val="false"/>
          <w:color w:val="334155"/>
          <w:sz w:val="22"/>
          <w:szCs w:val="22"/>
        </w:rPr>
        <w:t xml:space="preserve">the extracted value and citation look right — approve, which commits the update and resets the Last Verified date.</w:t>
      </w:r>
    </w:p>
    <w:p>
      <w:pPr>
        <w:pStyle w:val="ListParagraph"/>
        <w:numPr>
          <w:ilvl w:val="0"/>
          <w:numId w:val="2"/>
        </w:numPr>
        <w:spacing w:after="80" w:before="40"/>
      </w:pPr>
      <w:r>
        <w:rPr>
          <w:rFonts w:ascii="Calibri" w:cs="Calibri" w:eastAsia="Calibri" w:hAnsi="Calibri"/>
          <w:b/>
          <w:bCs/>
          <w:i w:val="false"/>
          <w:iCs w:val="false"/>
          <w:caps w:val="false"/>
          <w:color w:val="334155"/>
          <w:sz w:val="22"/>
          <w:szCs w:val="22"/>
        </w:rPr>
        <w:t xml:space="preserve">Correct: </w:t>
      </w:r>
      <w:r>
        <w:rPr>
          <w:rFonts w:ascii="Calibri" w:cs="Calibri" w:eastAsia="Calibri" w:hAnsi="Calibri"/>
          <w:b w:val="false"/>
          <w:bCs w:val="false"/>
          <w:i w:val="false"/>
          <w:iCs w:val="false"/>
          <w:caps w:val="false"/>
          <w:color w:val="334155"/>
          <w:sz w:val="22"/>
          <w:szCs w:val="22"/>
        </w:rPr>
        <w:t xml:space="preserve">the pipeline found the wrong figure or misread the source — the researcher enters the right value directly (exactly as they do today in the Assessment Matrix), and this correction should be logged as a signal to improve that specific source's extraction logic, not just a one-off fix.</w:t>
      </w:r>
    </w:p>
    <w:p>
      <w:pPr>
        <w:pStyle w:val="ListParagraph"/>
        <w:numPr>
          <w:ilvl w:val="0"/>
          <w:numId w:val="2"/>
        </w:numPr>
        <w:spacing w:after="80" w:before="40"/>
      </w:pPr>
      <w:r>
        <w:rPr>
          <w:rFonts w:ascii="Calibri" w:cs="Calibri" w:eastAsia="Calibri" w:hAnsi="Calibri"/>
          <w:b/>
          <w:bCs/>
          <w:i w:val="false"/>
          <w:iCs w:val="false"/>
          <w:caps w:val="false"/>
          <w:color w:val="334155"/>
          <w:sz w:val="22"/>
          <w:szCs w:val="22"/>
        </w:rPr>
        <w:t xml:space="preserve">Research: </w:t>
      </w:r>
      <w:r>
        <w:rPr>
          <w:rFonts w:ascii="Calibri" w:cs="Calibri" w:eastAsia="Calibri" w:hAnsi="Calibri"/>
          <w:b w:val="false"/>
          <w:bCs w:val="false"/>
          <w:i w:val="false"/>
          <w:iCs w:val="false"/>
          <w:caps w:val="false"/>
          <w:color w:val="334155"/>
          <w:sz w:val="22"/>
          <w:szCs w:val="22"/>
        </w:rPr>
        <w:t xml:space="preserve">the pipeline could not find anything usable — this is unchanged manual research work, identical to how the current baseline was built, except the pipeline has already ruled out the easy answer and the researcher can start from what it tried.</w:t>
      </w:r>
    </w:p>
    <w:p>
      <w:pPr>
        <w:pStyle w:val="Heading2"/>
        <w:spacing w:after="110" w:before="300"/>
      </w:pPr>
      <w:r>
        <w:rPr>
          <w:rFonts w:ascii="Calibri" w:cs="Calibri" w:eastAsia="Calibri" w:hAnsi="Calibri"/>
          <w:b/>
          <w:bCs/>
          <w:i w:val="false"/>
          <w:iCs w:val="false"/>
          <w:caps w:val="false"/>
          <w:color w:val="0D2137"/>
          <w:sz w:val="24"/>
          <w:szCs w:val="24"/>
        </w:rPr>
        <w:t xml:space="preserve">7.3  Where the pipeline should never act alone</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Two categories of decision stay with a researcher permanently, not just during early rollout: any change that moves an H/M/L rating (Section 6.3), and any addition or removal of a criterion or source from the schema itself. The criteria are the framework's definition of what feasibility means — changing them is a research and methodology decision, not a data update, and automating it would quietly change what every historical rating in the assessment means without anyone deciding that should happen.</w:t>
      </w:r>
    </w:p>
    <w:p>
      <w:pPr>
        <w:spacing w:after="0" w:before="0"/>
      </w:pPr>
      <w:r>
        <w:br w:type="page"/>
      </w:r>
    </w:p>
    <w:p>
      <w:pPr>
        <w:pStyle w:val="Heading1"/>
        <w:pBdr>
          <w:bottom w:val="single" w:color="0F5132" w:sz="6" w:space="4"/>
        </w:pBdr>
        <w:spacing w:after="160" w:before="420"/>
      </w:pPr>
      <w:r>
        <w:rPr>
          <w:rFonts w:ascii="Calibri" w:cs="Calibri" w:eastAsia="Calibri" w:hAnsi="Calibri"/>
          <w:b/>
          <w:bCs/>
          <w:i w:val="false"/>
          <w:iCs w:val="false"/>
          <w:caps w:val="false"/>
          <w:color w:val="0D2137"/>
          <w:sz w:val="28"/>
          <w:szCs w:val="28"/>
        </w:rPr>
        <w:t xml:space="preserve">8.  Phased Rollout</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Building the full pipeline against all 52 sources at once is the wrong sequencing — it defers any usable automation until everything is done, and it means the hardest source type (company disclosure) blocks value that the easiest source type (structured APIs) could deliver almost immediately. The phases below are sequenced by automation ceiling, from Section 2, so value lands early and each phase's lessons inform the next.</w:t>
      </w:r>
    </w:p>
    <w:tbl>
      <w:tblPr>
        <w:tblW w:type="dxa" w:w="9186"/>
        <w:tblBorders>
          <w:top w:val="single" w:color="auto" w:sz="4"/>
          <w:left w:val="single" w:color="auto" w:sz="4"/>
          <w:bottom w:val="single" w:color="auto" w:sz="4"/>
          <w:right w:val="single" w:color="auto" w:sz="4"/>
          <w:insideH w:val="single" w:color="auto" w:sz="4"/>
          <w:insideV w:val="single" w:color="auto" w:sz="4"/>
        </w:tblBorders>
      </w:tblPr>
      <w:tblGrid>
        <w:gridCol w:w="1837"/>
        <w:gridCol w:w="4042"/>
        <w:gridCol w:w="3307"/>
      </w:tblGrid>
      <w:tr>
        <w:tc>
          <w:tcPr>
            <w:tcW w:type="dxa" w:w="1837"/>
            <w:tcBorders>
              <w:top w:val="single" w:color="CBD5E1" w:sz="2"/>
              <w:left w:val="single" w:color="CBD5E1" w:sz="2"/>
              <w:bottom w:val="single" w:color="CBD5E1" w:sz="2"/>
              <w:right w:val="single" w:color="CBD5E1" w:sz="2"/>
            </w:tcBorders>
            <w:shd w:fill="0D2137" w:val="clear"/>
            <w:tcMar>
              <w:top w:type="dxa" w:w="70"/>
              <w:left w:type="dxa" w:w="120"/>
              <w:bottom w:type="dxa" w:w="70"/>
              <w:right w:type="dxa" w:w="120"/>
            </w:tcMar>
            <w:vAlign w:val="center"/>
          </w:tcPr>
          <w:p>
            <w:pPr>
              <w:spacing w:after="0" w:before="0"/>
            </w:pPr>
            <w:r>
              <w:rPr>
                <w:rFonts w:ascii="Calibri" w:cs="Calibri" w:eastAsia="Calibri" w:hAnsi="Calibri"/>
                <w:b/>
                <w:bCs/>
                <w:i w:val="false"/>
                <w:iCs w:val="false"/>
                <w:caps/>
                <w:color w:val="FFFFFF"/>
                <w:spacing w:val="10"/>
                <w:sz w:val="17"/>
                <w:szCs w:val="17"/>
              </w:rPr>
              <w:t xml:space="preserve">Phase</w:t>
            </w:r>
          </w:p>
        </w:tc>
        <w:tc>
          <w:tcPr>
            <w:tcW w:type="dxa" w:w="4042"/>
            <w:tcBorders>
              <w:top w:val="single" w:color="CBD5E1" w:sz="2"/>
              <w:left w:val="single" w:color="CBD5E1" w:sz="2"/>
              <w:bottom w:val="single" w:color="CBD5E1" w:sz="2"/>
              <w:right w:val="single" w:color="CBD5E1" w:sz="2"/>
            </w:tcBorders>
            <w:shd w:fill="0D2137" w:val="clear"/>
            <w:tcMar>
              <w:top w:type="dxa" w:w="70"/>
              <w:left w:type="dxa" w:w="120"/>
              <w:bottom w:type="dxa" w:w="70"/>
              <w:right w:type="dxa" w:w="120"/>
            </w:tcMar>
            <w:vAlign w:val="center"/>
          </w:tcPr>
          <w:p>
            <w:pPr>
              <w:spacing w:after="0" w:before="0"/>
            </w:pPr>
            <w:r>
              <w:rPr>
                <w:rFonts w:ascii="Calibri" w:cs="Calibri" w:eastAsia="Calibri" w:hAnsi="Calibri"/>
                <w:b/>
                <w:bCs/>
                <w:i w:val="false"/>
                <w:iCs w:val="false"/>
                <w:caps/>
                <w:color w:val="FFFFFF"/>
                <w:spacing w:val="10"/>
                <w:sz w:val="17"/>
                <w:szCs w:val="17"/>
              </w:rPr>
              <w:t xml:space="preserve">Scope</w:t>
            </w:r>
          </w:p>
        </w:tc>
        <w:tc>
          <w:tcPr>
            <w:tcW w:type="dxa" w:w="3307"/>
            <w:tcBorders>
              <w:top w:val="single" w:color="CBD5E1" w:sz="2"/>
              <w:left w:val="single" w:color="CBD5E1" w:sz="2"/>
              <w:bottom w:val="single" w:color="CBD5E1" w:sz="2"/>
              <w:right w:val="single" w:color="CBD5E1" w:sz="2"/>
            </w:tcBorders>
            <w:shd w:fill="0D2137" w:val="clear"/>
            <w:tcMar>
              <w:top w:type="dxa" w:w="70"/>
              <w:left w:type="dxa" w:w="120"/>
              <w:bottom w:type="dxa" w:w="70"/>
              <w:right w:type="dxa" w:w="120"/>
            </w:tcMar>
            <w:vAlign w:val="center"/>
          </w:tcPr>
          <w:p>
            <w:pPr>
              <w:spacing w:after="0" w:before="0"/>
            </w:pPr>
            <w:r>
              <w:rPr>
                <w:rFonts w:ascii="Calibri" w:cs="Calibri" w:eastAsia="Calibri" w:hAnsi="Calibri"/>
                <w:b/>
                <w:bCs/>
                <w:i w:val="false"/>
                <w:iCs w:val="false"/>
                <w:caps/>
                <w:color w:val="FFFFFF"/>
                <w:spacing w:val="10"/>
                <w:sz w:val="17"/>
                <w:szCs w:val="17"/>
              </w:rPr>
              <w:t xml:space="preserve">Value delivered</w:t>
            </w:r>
          </w:p>
        </w:tc>
      </w:tr>
      <w:tr>
        <w:tc>
          <w:tcPr>
            <w:tcW w:type="dxa" w:w="1837"/>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D2137"/>
                <w:sz w:val="17"/>
                <w:szCs w:val="17"/>
              </w:rPr>
              <w:t xml:space="preserve">Phase 1 — Structured sources</w:t>
            </w:r>
          </w:p>
        </w:tc>
        <w:tc>
          <w:tcPr>
            <w:tcW w:type="dxa" w:w="4042"/>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Build the Retriever and Extractor for the ~25% of criteria resting on structured APIs and dashboards (World Bank, USGS, exchange price feeds) — the Source Registry entries for these sources (Section 4) are already built and verified, so this phase starts directly on Retriever/Extractor logic rather than on source discovery.</w:t>
            </w:r>
          </w:p>
        </w:tc>
        <w:tc>
          <w:tcPr>
            <w:tcW w:type="dxa" w:w="3307"/>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Fully automated update path for a meaningful minority of criteria; validated Reconciler and confidence logic on the easiest cases before applying them to harder ones.</w:t>
            </w:r>
          </w:p>
        </w:tc>
      </w:tr>
      <w:tr>
        <w:tc>
          <w:tcPr>
            <w:tcW w:type="dxa" w:w="1837"/>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D2137"/>
                <w:sz w:val="17"/>
                <w:szCs w:val="17"/>
              </w:rPr>
              <w:t xml:space="preserve">Phase 2 — Institutional reports and legal text</w:t>
            </w:r>
          </w:p>
        </w:tc>
        <w:tc>
          <w:tcPr>
            <w:tcW w:type="dxa" w:w="4042"/>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Extend to the ~45% of criteria resting on periodic PDF reports (IEA, IRENA, BloombergNEF) and legal/regulatory text (EU regulations). Build the table-location and clause-location logic (Sections 5.2-5.3) specific to each recurring report series and regulation.</w:t>
            </w:r>
          </w:p>
        </w:tc>
        <w:tc>
          <w:tcPr>
            <w:tcW w:type="dxa" w:w="3307"/>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The bulk of the assessment (roughly 70% of criteria cumulatively) on a semi-automated path: pipeline proposes, researcher confirms via the review queue.</w:t>
            </w:r>
          </w:p>
        </w:tc>
      </w:tr>
      <w:tr>
        <w:tc>
          <w:tcPr>
            <w:tcW w:type="dxa" w:w="1837"/>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D2137"/>
                <w:sz w:val="17"/>
                <w:szCs w:val="17"/>
              </w:rPr>
              <w:t xml:space="preserve">Phase 3 — Government publications and trackers</w:t>
            </w:r>
          </w:p>
        </w:tc>
        <w:tc>
          <w:tcPr>
            <w:tcW w:type="dxa" w:w="4042"/>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Extend to agency publications and industry trackers, prioritising the sources with the most consistent publishing practices first (e.g. EU Commission DG CLIMA before single-country ad hoc releases). Build the Chinese-language glossary (Section 5.4) as a distinct workstream given its specialised validation need.</w:t>
            </w:r>
          </w:p>
        </w:tc>
        <w:tc>
          <w:tcPr>
            <w:tcW w:type="dxa" w:w="3307"/>
            <w:tcBorders>
              <w:top w:val="single" w:color="CBD5E1" w:sz="2"/>
              <w:left w:val="single" w:color="CBD5E1" w:sz="2"/>
              <w:bottom w:val="single" w:color="CBD5E1" w:sz="2"/>
              <w:right w:val="single" w:color="CBD5E1" w:sz="2"/>
            </w:tcBorders>
            <w:shd w:fill="F1F5F9"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Most of the remaining criteria on at least a discovery-and-triage automated path, even where full auto-extraction is not reliable.</w:t>
            </w:r>
          </w:p>
        </w:tc>
      </w:tr>
      <w:tr>
        <w:tc>
          <w:tcPr>
            <w:tcW w:type="dxa" w:w="1837"/>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bCs/>
                <w:i w:val="false"/>
                <w:iCs w:val="false"/>
                <w:caps w:val="false"/>
                <w:color w:val="0D2137"/>
                <w:sz w:val="17"/>
                <w:szCs w:val="17"/>
              </w:rPr>
              <w:t xml:space="preserve">Phase 4 — Company disclosure monitoring</w:t>
            </w:r>
          </w:p>
        </w:tc>
        <w:tc>
          <w:tcPr>
            <w:tcW w:type="dxa" w:w="4042"/>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Build the discovery-and-triage capability (Section 5.6) for company IR pages and filings — explicitly not aiming for auto-extraction, but for surfacing relevant passages to cut researcher search time. This phase has the lowest automation ceiling and should be scoped accordingly.</w:t>
            </w:r>
          </w:p>
        </w:tc>
        <w:tc>
          <w:tcPr>
            <w:tcW w:type="dxa" w:w="3307"/>
            <w:tcBorders>
              <w:top w:val="single" w:color="CBD5E1" w:sz="2"/>
              <w:left w:val="single" w:color="CBD5E1" w:sz="2"/>
              <w:bottom w:val="single" w:color="CBD5E1" w:sz="2"/>
              <w:right w:val="single" w:color="CBD5E1" w:sz="2"/>
            </w:tcBorders>
            <w:shd w:fill="FFFFFF" w:val="clear"/>
            <w:tcMar>
              <w:top w:type="dxa" w:w="70"/>
              <w:left w:type="dxa" w:w="120"/>
              <w:bottom w:type="dxa" w:w="70"/>
              <w:right w:type="dxa" w:w="12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Reduced researcher search time on the hardest source category; confidence tiers on this category remain Low/Medium by design, not a target to be optimised away.</w:t>
            </w:r>
          </w:p>
        </w:tc>
      </w:tr>
    </w:tbl>
    <w:p>
      <w:pPr>
        <w:spacing w:after="120" w:before="0" w:line="282" w:lineRule="auto"/>
        <w:jc w:val="both"/>
      </w:pPr>
      <w:r>
        <w:rPr>
          <w:rFonts w:ascii="Calibri" w:cs="Calibri" w:eastAsia="Calibri" w:hAnsi="Calibri"/>
          <w:b w:val="false"/>
          <w:bCs w:val="false"/>
          <w:i w:val="false"/>
          <w:iCs w:val="false"/>
          <w:caps w:val="false"/>
          <w:color w:val="334155"/>
          <w:sz w:val="22"/>
          <w:szCs w:val="22"/>
        </w:rPr>
        <w:t xml:space="preserve"/>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Sector and region coverage does not need to wait for a phase to complete across all 9 sectors — within Phase 1, for instance, the Critical Minerals sector (which leans heavily on USGS and IEA structured data) could reach a largely automated state well before Aviation (which leans more on trackers and mandates requiring legal-text extraction). Sequencing by source type rather than by sector is the faster path to the first fully-automated sector, and Critical Minerals or Power &amp; Utilities are the strongest early candidates on that basis.</w:t>
      </w:r>
    </w:p>
    <w:p>
      <w:pPr>
        <w:spacing w:after="0" w:before="0"/>
      </w:pPr>
      <w:r>
        <w:br w:type="page"/>
      </w:r>
    </w:p>
    <w:p>
      <w:pPr>
        <w:pStyle w:val="Heading1"/>
        <w:pBdr>
          <w:bottom w:val="single" w:color="0F5132" w:sz="6" w:space="4"/>
        </w:pBdr>
        <w:spacing w:after="160" w:before="420"/>
      </w:pPr>
      <w:r>
        <w:rPr>
          <w:rFonts w:ascii="Calibri" w:cs="Calibri" w:eastAsia="Calibri" w:hAnsi="Calibri"/>
          <w:b/>
          <w:bCs/>
          <w:i w:val="false"/>
          <w:iCs w:val="false"/>
          <w:caps w:val="false"/>
          <w:color w:val="0D2137"/>
          <w:sz w:val="28"/>
          <w:szCs w:val="28"/>
        </w:rPr>
        <w:t xml:space="preserve">9.  What This Pipeline Deliberately Does Not Do</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Scope discipline matters here as much as capability. Three things are explicitly out of scope, and treating them as future phases rather than current gaps would misrepresent what is being proposed.</w:t>
      </w:r>
    </w:p>
    <w:p>
      <w:pPr>
        <w:pStyle w:val="Heading3"/>
        <w:spacing w:after="80" w:before="200"/>
      </w:pPr>
      <w:r>
        <w:rPr>
          <w:rFonts w:ascii="Calibri" w:cs="Calibri" w:eastAsia="Calibri" w:hAnsi="Calibri"/>
          <w:b/>
          <w:bCs/>
          <w:i w:val="false"/>
          <w:iCs w:val="false"/>
          <w:caps w:val="false"/>
          <w:color w:val="0F5132"/>
          <w:sz w:val="21"/>
          <w:szCs w:val="21"/>
        </w:rPr>
        <w:t xml:space="preserve">It does not decide what counts as feasible</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The rubrics in the criteria schema (H/M/L thresholds) are research and policy judgments — what carbon price counts as meaningful, what TRL counts as investment-grade. The pipeline applies those thresholds; it does not set them, adjust them based on what data happens to be available, or infer new ones. Any change to a rubric is a methodology decision made by the research team, documented as a schema change with a version note, never an emergent pipeline behaviour.</w:t>
      </w:r>
    </w:p>
    <w:p>
      <w:pPr>
        <w:pStyle w:val="Heading3"/>
        <w:spacing w:after="80" w:before="200"/>
      </w:pPr>
      <w:r>
        <w:rPr>
          <w:rFonts w:ascii="Calibri" w:cs="Calibri" w:eastAsia="Calibri" w:hAnsi="Calibri"/>
          <w:b/>
          <w:bCs/>
          <w:i w:val="false"/>
          <w:iCs w:val="false"/>
          <w:caps w:val="false"/>
          <w:color w:val="0F5132"/>
          <w:sz w:val="21"/>
          <w:szCs w:val="21"/>
        </w:rPr>
        <w:t xml:space="preserve">It does not resolve genuine analytical disagreement</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Some criteria will always have legitimately disputed figures — different agencies produce different green hydrogen cost curves, for instance, because they use different assumptions. The pipeline's job (Section 6.3) is to surface the disagreement and both sources, not to average them, pick the more recent one, or otherwise manufacture a false consensus.</w:t>
      </w:r>
    </w:p>
    <w:p>
      <w:pPr>
        <w:pStyle w:val="Heading3"/>
        <w:spacing w:after="80" w:before="200"/>
      </w:pPr>
      <w:r>
        <w:rPr>
          <w:rFonts w:ascii="Calibri" w:cs="Calibri" w:eastAsia="Calibri" w:hAnsi="Calibri"/>
          <w:b/>
          <w:bCs/>
          <w:i w:val="false"/>
          <w:iCs w:val="false"/>
          <w:caps w:val="false"/>
          <w:color w:val="0F5132"/>
          <w:sz w:val="21"/>
          <w:szCs w:val="21"/>
        </w:rPr>
        <w:t xml:space="preserve">It does not replace the criteria review process</w:t>
      </w:r>
    </w:p>
    <w:p>
      <w:pPr>
        <w:spacing w:after="170" w:before="0" w:line="282" w:lineRule="auto"/>
        <w:jc w:val="both"/>
      </w:pPr>
      <w:r>
        <w:rPr>
          <w:rFonts w:ascii="Calibri" w:cs="Calibri" w:eastAsia="Calibri" w:hAnsi="Calibri"/>
          <w:b w:val="false"/>
          <w:bCs w:val="false"/>
          <w:i w:val="false"/>
          <w:iCs w:val="false"/>
          <w:caps w:val="false"/>
          <w:color w:val="334155"/>
          <w:sz w:val="22"/>
          <w:szCs w:val="22"/>
        </w:rPr>
        <w:t xml:space="preserve">As sectors evolve — a technology matures past the point where TRL is the binding constraint, a new regulatory instrument appears that the current criteria do not capture — the criteria themselves need periodic review independent of the pipeline. That review is a research task on the same cadence logic as Section 4.1 of the assessment document, informed by what the pipeline has been unable to classify well, but conducted by people, not inferred by the system from its own extraction difficulty.</w:t>
      </w:r>
    </w:p>
    <w:p>
      <w:pPr>
        <w:spacing w:after="120" w:before="0" w:line="282" w:lineRule="auto"/>
        <w:jc w:val="both"/>
      </w:pPr>
      <w:r>
        <w:rPr>
          <w:rFonts w:ascii="Calibri" w:cs="Calibri" w:eastAsia="Calibri" w:hAnsi="Calibri"/>
          <w:b w:val="false"/>
          <w:bCs w:val="false"/>
          <w:i w:val="false"/>
          <w:iCs w:val="false"/>
          <w:caps w:val="false"/>
          <w:color w:val="334155"/>
          <w:sz w:val="22"/>
          <w:szCs w:val="22"/>
        </w:rPr>
        <w:t xml:space="preserve"/>
      </w:r>
    </w:p>
    <w:p>
      <w:pPr>
        <w:pBdr>
          <w:left w:val="single" w:color="0F5132" w:sz="18" w:space="16"/>
        </w:pBdr>
        <w:spacing w:after="220" w:before="220"/>
        <w:ind w:left="480"/>
        <w:jc w:val="left"/>
      </w:pPr>
      <w:r>
        <w:rPr>
          <w:rFonts w:ascii="Calibri" w:cs="Calibri" w:eastAsia="Calibri" w:hAnsi="Calibri"/>
          <w:b/>
          <w:bCs/>
          <w:i w:val="false"/>
          <w:iCs w:val="false"/>
          <w:caps w:val="false"/>
          <w:color w:val="0D2137"/>
          <w:sz w:val="24"/>
          <w:szCs w:val="24"/>
        </w:rPr>
        <w:t xml:space="preserve">Automate the parts of the process that are mechanical. Keep the parts that are judgment. The design above is an attempt to draw that line honestly rather than optimistically.</w:t>
      </w:r>
    </w:p>
    <w:sectPr>
      <w:headerReference w:type="default" r:id="rId7"/>
      <w:footerReference w:type="default" r:id="rId8"/>
      <w:pgSz w:w="11906" w:h="16838" w:orient="portrait"/>
      <w:pgMar w:top="1360" w:right="1360" w:bottom="1360"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spacing w:after="0" w:before="100"/>
    </w:pPr>
    <w:r>
      <w:rPr>
        <w:rFonts w:ascii="Calibri" w:cs="Calibri" w:eastAsia="Calibri" w:hAnsi="Calibri"/>
        <w:b w:val="false"/>
        <w:bCs w:val="false"/>
        <w:i/>
        <w:iCs/>
        <w:caps w:val="false"/>
        <w:color w:val="64748B"/>
        <w:sz w:val="14"/>
        <w:szCs w:val="14"/>
      </w:rPr>
      <w:t xml:space="preserve">Route by source type · confidence as a first-class output · never silently overwrite a human judgment</w:t>
    </w:r>
    <w:r>
      <w:rPr>
        <w:rFonts w:ascii="Calibri" w:cs="Calibri" w:eastAsia="Calibri" w:hAnsi="Calibri"/>
        <w:sz w:val="14"/>
        <w:szCs w:val="14"/>
      </w:rPr>
      <w:t xml:space="preserve">	</w:t>
    </w:r>
    <w:r>
      <w:rPr>
        <w:rFonts w:ascii="Calibri" w:cs="Calibri" w:eastAsia="Calibri" w:hAnsi="Calibri"/>
        <w:b w:val="false"/>
        <w:bCs w:val="false"/>
        <w:i w:val="false"/>
        <w:iCs w:val="false"/>
        <w:caps w:val="false"/>
        <w:color w:val="64748B"/>
        <w:sz w:val="14"/>
        <w:szCs w:val="14"/>
      </w:rPr>
      <w:t xml:space="preserve">Page </w:t>
    </w:r>
    <w:r>
      <w:rPr>
        <w:rFonts w:ascii="Calibri" w:cs="Calibri" w:eastAsia="Calibri" w:hAnsi="Calibri"/>
        <w:color w:val="64748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tabs>
        <w:tab w:val="right" w:pos="9026"/>
      </w:tabs>
      <w:spacing w:after="120" w:before="0"/>
    </w:pPr>
    <w:r>
      <w:rPr>
        <w:rFonts w:ascii="Calibri" w:cs="Calibri" w:eastAsia="Calibri" w:hAnsi="Calibri"/>
        <w:b w:val="false"/>
        <w:bCs w:val="false"/>
        <w:i w:val="false"/>
        <w:iCs w:val="false"/>
        <w:caps/>
        <w:color w:val="64748B"/>
        <w:spacing w:val="25"/>
        <w:sz w:val="15"/>
        <w:szCs w:val="15"/>
      </w:rPr>
      <w:t xml:space="preserve">CLTI FRAMEWORK  ·  AUTOMATION PIPELINE DESIGN</w:t>
    </w:r>
    <w:r>
      <w:rPr>
        <w:rFonts w:ascii="Calibri" w:cs="Calibri" w:eastAsia="Calibri" w:hAnsi="Calibri"/>
        <w:sz w:val="15"/>
        <w:szCs w:val="15"/>
      </w:rPr>
      <w:t xml:space="preserve">	</w:t>
    </w:r>
    <w:r>
      <w:rPr>
        <w:rFonts w:ascii="Calibri" w:cs="Calibri" w:eastAsia="Calibri" w:hAnsi="Calibri"/>
        <w:b w:val="false"/>
        <w:bCs w:val="false"/>
        <w:i w:val="false"/>
        <w:iCs w:val="false"/>
        <w:caps w:val="false"/>
        <w:color w:val="64748B"/>
        <w:sz w:val="15"/>
        <w:szCs w:val="15"/>
      </w:rPr>
      <w:t xml:space="preserve">DWS INVESTMENT INTELLIGENCE &amp; POSITIONING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Calibri" w:cs="Calibri" w:eastAsia="Calibri" w:hAnsi="Calibri"/>
      <w:b/>
      <w:bCs/>
      <w:color w:val="0D2137"/>
      <w:sz w:val="28"/>
      <w:szCs w:val="28"/>
    </w:rPr>
  </w:style>
  <w:style w:type="paragraph" w:styleId="Heading2">
    <w:name w:val="Heading 2"/>
    <w:basedOn w:val="Normal"/>
    <w:next w:val="Normal"/>
    <w:qFormat/>
    <w:pPr>
      <w:spacing w:after="110" w:before="300"/>
      <w:outlineLvl w:val="1"/>
    </w:pPr>
    <w:rPr>
      <w:rFonts w:ascii="Calibri" w:cs="Calibri" w:eastAsia="Calibri" w:hAnsi="Calibri"/>
      <w:b/>
      <w:bCs/>
      <w:color w:val="0D2137"/>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0F513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2026-08-14T11:00:57.663Z</dcterms:created>
  <dcterms:modified xsi:type="dcterms:W3CDTF">2026-08-14T11:00:57.663Z</dcterms:modified>
</cp:coreProperties>
</file>

<file path=docProps/custom.xml><?xml version="1.0" encoding="utf-8"?>
<Properties xmlns="http://schemas.openxmlformats.org/officeDocument/2006/custom-properties" xmlns:vt="http://schemas.openxmlformats.org/officeDocument/2006/docPropsVTypes"/>
</file>