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200"/>
      </w:pPr>
      <w:r>
        <w:rPr>
          <w:rFonts w:ascii="Calibri" w:cs="Calibri" w:eastAsia="Calibri" w:hAnsi="Calibri"/>
          <w:b/>
          <w:bCs/>
          <w:color w:val="3B2F8C"/>
          <w:sz w:val="56"/>
          <w:szCs w:val="56"/>
        </w:rPr>
        <w:t xml:space="preserve">Transition Barrier Assessment</w:t>
      </w:r>
    </w:p>
    <w:p>
      <w:pPr>
        <w:spacing w:after="400"/>
      </w:pPr>
      <w:r>
        <w:rPr>
          <w:rFonts w:ascii="Calibri" w:cs="Calibri" w:eastAsia="Calibri" w:hAnsi="Calibri"/>
          <w:color w:val="5A5A6E"/>
          <w:sz w:val="28"/>
          <w:szCs w:val="28"/>
        </w:rPr>
        <w:t xml:space="preserve">How feasible is decarbonisation, by sector and by region?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35 criteria</w:t>
      </w:r>
      <w:r>
        <w:rPr>
          <w:rFonts w:ascii="Calibri" w:cs="Calibri" w:eastAsia="Calibri" w:hAnsi="Calibri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9 hard-to-abate sectors</w:t>
      </w:r>
      <w:r>
        <w:rPr>
          <w:rFonts w:ascii="Calibri" w:cs="Calibri" w:eastAsia="Calibri" w:hAnsi="Calibri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 regions</w:t>
      </w:r>
      <w:r>
        <w:rPr>
          <w:rFonts w:ascii="Calibri" w:cs="Calibri" w:eastAsia="Calibri" w:hAnsi="Calibri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105 rated cells</w:t>
      </w:r>
      <w:r>
        <w:rPr>
          <w:rFonts w:ascii="Calibri" w:cs="Calibri" w:eastAsia="Calibri" w:hAnsi="Calibri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86 verified sources</w:t>
      </w:r>
    </w:p>
    <w:p>
      <w:pPr>
        <w:spacing w:after="120" w:before="0"/>
      </w:pPr>
      <w:r>
        <w:rPr>
          <w:rFonts w:ascii="Calibri" w:cs="Calibri" w:eastAsia="Calibri" w:hAnsi="Calibri"/>
          <w:color w:val="5A5A6E"/>
          <w:sz w:val="20"/>
          <w:szCs w:val="20"/>
        </w:rPr>
        <w:t xml:space="preserve">Agentic Research Pipeline — module reference</w:t>
      </w:r>
    </w:p>
    <w:p>
      <w:pPr>
        <w:spacing w:after="120" w:before="0"/>
      </w:pPr>
      <w:r>
        <w:rPr>
          <w:rFonts w:ascii="Calibri" w:cs="Calibri" w:eastAsia="Calibri" w:hAnsi="Calibri"/>
          <w:color w:val="5A5A6E"/>
          <w:sz w:val="20"/>
          <w:szCs w:val="20"/>
        </w:rPr>
        <w:t xml:space="preserve">Data verified 2026-08-14</w:t>
      </w:r>
    </w:p>
    <w:p>
      <w:r>
        <w:br w:type="page"/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sz w:val="20"/>
          <w:szCs w:val="20"/>
        </w:rPr>
        <w:t xml:space="preserve">What this is</w:t>
      </w:r>
    </w:p>
    <w:p>
      <w:pPr>
        <w:spacing w:after="120" w:before="0"/>
      </w:pPr>
      <w:r>
        <w:rPr>
          <w:rFonts w:ascii="Calibri" w:cs="Calibri" w:eastAsia="Calibri" w:hAnsi="Calibri"/>
          <w:sz w:val="20"/>
          <w:szCs w:val="20"/>
        </w:rPr>
        <w:t xml:space="preserve">The Transition Barrier Assessment answers a question that sits upstream of every company-level climate judgement: how feasible is decarbonisation in this sector, in this region, at all? It scores 9 hard-to-abate sectors against 35 criteria, each rated for the European Union, the United States and China — a 105-cell matrix. Every cell carries an H/M/L rating, a confidence tier, the evidence it rests on, the sources behind it, and the date it was last verified.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sz w:val="20"/>
          <w:szCs w:val="20"/>
        </w:rPr>
        <w:t xml:space="preserve">Read the rating the right way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 means transition is more feasible — fewer barriers — not that the barrier is high.</w:t>
      </w:r>
      <w:r>
        <w:rPr>
          <w:rFonts w:ascii="Calibri" w:cs="Calibri" w:eastAsia="Calibri" w:hAnsi="Calibri"/>
          <w:sz w:val="20"/>
          <w:szCs w:val="20"/>
        </w:rPr>
        <w:t xml:space="preserve"> This is the most common way to misread the matrix. A cell rated L is one where decarbonisation is hard: the technology is not ready, the regulation is absent, or the economics do not close.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1400"/>
        <w:gridCol w:w="13998"/>
      </w:tblGrid>
      <w:tr>
        <w:trPr>
          <w:tblHeader/>
        </w:trPr>
        <w:tc>
          <w:tcPr>
            <w:tcW w:type="dxa" w:w="14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Rating</w:t>
            </w:r>
          </w:p>
        </w:tc>
        <w:tc>
          <w:tcPr>
            <w:tcW w:type="dxa" w:w="139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Meaning</w:t>
            </w:r>
          </w:p>
        </w:tc>
      </w:tr>
      <w:tr>
        <w:tc>
          <w:tcPr>
            <w:tcW w:type="dxa" w:w="14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W w:type="dxa" w:w="139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High feasibility — the enabling condition is in place</w:t>
            </w:r>
          </w:p>
        </w:tc>
      </w:tr>
      <w:tr>
        <w:tc>
          <w:tcPr>
            <w:tcW w:type="dxa" w:w="14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</w:t>
            </w:r>
          </w:p>
        </w:tc>
        <w:tc>
          <w:tcPr>
            <w:tcW w:type="dxa" w:w="139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Moderate — partially in place, or in place with material caveats</w:t>
            </w:r>
          </w:p>
        </w:tc>
      </w:tr>
      <w:tr>
        <w:tc>
          <w:tcPr>
            <w:tcW w:type="dxa" w:w="14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</w:t>
            </w:r>
          </w:p>
        </w:tc>
        <w:tc>
          <w:tcPr>
            <w:tcW w:type="dxa" w:w="139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Low feasibility — the enabling condition is largely absent</w:t>
            </w:r>
          </w:p>
        </w:tc>
      </w:tr>
    </w:tbl>
    <w:p>
      <w:pPr>
        <w:spacing w:after="120" w:before="160"/>
      </w:pPr>
      <w:r>
        <w:rPr>
          <w:rFonts w:ascii="Calibri" w:cs="Calibri" w:eastAsia="Calibri" w:hAnsi="Calibri"/>
          <w:sz w:val="20"/>
          <w:szCs w:val="20"/>
        </w:rPr>
        <w:t xml:space="preserve">Confidence (high / medium / low) is a separate axis recording how sure the analyst was given the evidence available. It is not a measure of how recently the cell was checked — staleness is tracked independently.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sz w:val="20"/>
          <w:szCs w:val="20"/>
        </w:rPr>
        <w:t xml:space="preserve">What the matrix currently says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Across all 105 cells: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24 H · 49 M · 32 L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2600"/>
        <w:gridCol w:w="900"/>
        <w:gridCol w:w="900"/>
        <w:gridCol w:w="900"/>
        <w:gridCol w:w="10098"/>
      </w:tblGrid>
      <w:tr>
        <w:trPr>
          <w:tblHeader/>
        </w:trPr>
        <w:tc>
          <w:tcPr>
            <w:tcW w:type="dxa" w:w="26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Region</w:t>
            </w:r>
          </w:p>
        </w:tc>
        <w:tc>
          <w:tcPr>
            <w:tcW w:type="dxa" w:w="9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9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</w:t>
            </w:r>
          </w:p>
        </w:tc>
        <w:tc>
          <w:tcPr>
            <w:tcW w:type="dxa" w:w="9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</w:t>
            </w:r>
          </w:p>
        </w:tc>
        <w:tc>
          <w:tcPr>
            <w:tcW w:type="dxa" w:w="100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Reading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European Union</w:t>
            </w:r>
          </w:p>
        </w:tc>
        <w:tc>
          <w:tcPr>
            <w:tcW w:type="dxa" w:w="9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16</w:t>
            </w:r>
          </w:p>
        </w:tc>
        <w:tc>
          <w:tcPr>
            <w:tcW w:type="dxa" w:w="9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16</w:t>
            </w:r>
          </w:p>
        </w:tc>
        <w:tc>
          <w:tcPr>
            <w:tcW w:type="dxa" w:w="9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</w:t>
            </w:r>
          </w:p>
        </w:tc>
        <w:tc>
          <w:tcPr>
            <w:tcW w:type="dxa" w:w="100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 is largely in place; the binding constraints are technological and economic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United States</w:t>
            </w:r>
          </w:p>
        </w:tc>
        <w:tc>
          <w:tcPr>
            <w:tcW w:type="dxa" w:w="9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22</w:t>
            </w:r>
          </w:p>
        </w:tc>
        <w:tc>
          <w:tcPr>
            <w:tcW w:type="dxa" w:w="9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10</w:t>
            </w:r>
          </w:p>
        </w:tc>
        <w:tc>
          <w:tcPr>
            <w:tcW w:type="dxa" w:w="100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Mostly moderate, and materially weaker on regulation after the 2025 federal reversals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China</w:t>
            </w:r>
          </w:p>
        </w:tc>
        <w:tc>
          <w:tcPr>
            <w:tcW w:type="dxa" w:w="9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11</w:t>
            </w:r>
          </w:p>
        </w:tc>
        <w:tc>
          <w:tcPr>
            <w:tcW w:type="dxa" w:w="9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19</w:t>
            </w:r>
          </w:p>
        </w:tc>
        <w:tc>
          <w:tcPr>
            <w:tcW w:type="dxa" w:w="100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Strong on deployment and manufacturing scale, weak on binding carbon pricing and mandates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sz w:val="20"/>
          <w:szCs w:val="20"/>
        </w:rPr>
        <w:t xml:space="preserve">Why this needs automated re-verification</w:t>
      </w:r>
    </w:p>
    <w:p>
      <w:pPr>
        <w:spacing w:after="120" w:before="0"/>
      </w:pPr>
      <w:r>
        <w:rPr>
          <w:rFonts w:ascii="Calibri" w:cs="Calibri" w:eastAsia="Calibri" w:hAnsi="Calibri"/>
          <w:sz w:val="20"/>
          <w:szCs w:val="20"/>
        </w:rPr>
        <w:t xml:space="preserve">Two US cells moved during the August 2026 verification pass, and neither would have been caught by re-fetching the same government page — both required searching for news of the policy change itself.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1500"/>
        <w:gridCol w:w="1100"/>
        <w:gridCol w:w="12798"/>
      </w:tblGrid>
      <w:tr>
        <w:trPr>
          <w:tblHeader/>
        </w:trPr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Cell</w:t>
            </w:r>
          </w:p>
        </w:tc>
        <w:tc>
          <w:tcPr>
            <w:tcW w:type="dxa" w:w="11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Rating</w:t>
            </w:r>
          </w:p>
        </w:tc>
        <w:tc>
          <w:tcPr>
            <w:tcW w:type="dxa" w:w="127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What changed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MIN-R2 (US)</w:t>
            </w:r>
          </w:p>
        </w:tc>
        <w:tc>
          <w:tcPr>
            <w:tcW w:type="dxa" w:w="11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</w:t>
            </w:r>
          </w:p>
        </w:tc>
        <w:tc>
          <w:tcPr>
            <w:tcW w:type="dxa" w:w="127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Section 30D's critical mineral sourcing requirement no longer functions as an active demand-side incentive: the New Clean Vehicle Credit terminated for vehicles acquired after 30 September 2025 under the One Big Beautiful Bill Act (P.L. 119-21, signed 4 July 2025). The domestic/FTA-partner sourcing thresholds that previously tied a material subsidy to critical mineral origin have lost their financial mechanism. Some residual effect persists through Section 45X advanced manufacturing credits and remaining IRA-era supply chain investment already committed, which is why this is a downgrade to Moderate rather than Low.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OGU-R1 (US)</w:t>
            </w:r>
          </w:p>
        </w:tc>
        <w:tc>
          <w:tcPr>
            <w:tcW w:type="dxa" w:w="11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</w:t>
            </w:r>
          </w:p>
        </w:tc>
        <w:tc>
          <w:tcPr>
            <w:tcW w:type="dxa" w:w="127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The EPA's Waste Emissions Charge implementing rule was nullified via a Congressional Review Act joint resolution (H.J.Res.35, P.L. 119-2) signed 14 March 2025. The underlying statutory fee remains on the books but EPA is barred from collecting it until 2034, and the CRA bars EPA from issuing a substantially similar rule without new legislative authority. No enforceable federal methane price currently applies to US upstream oil and gas operations; EPA performance standards (NSPS OOOOb/EG OOOOc) and GHG reporting requirements remain in effect but carry no direct cost mechanism.</w:t>
            </w:r>
          </w:p>
        </w:tc>
      </w:tr>
    </w:tbl>
    <w:p>
      <w:pPr>
        <w:spacing w:after="120" w:before="14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This is the argument for a policy-change search step, not merely a source re-fetch step, for every legal and government-publication source.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sz w:val="20"/>
          <w:szCs w:val="20"/>
        </w:rPr>
        <w:t xml:space="preserve">Operating rules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Never auto-commit a rating change.</w:t>
      </w:r>
      <w:r>
        <w:rPr>
          <w:rFonts w:ascii="Calibri" w:cs="Calibri" w:eastAsia="Calibri" w:hAnsi="Calibri"/>
          <w:sz w:val="20"/>
          <w:szCs w:val="20"/>
        </w:rPr>
        <w:t xml:space="preserve"> A refresh may propose an H/M/L move; only a human may accept it. Updating evidence text or the last-verified date on an unchanged rating is fine.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Every extracted value needs a confidence tier and an exact source quote</w:t>
      </w:r>
      <w:r>
        <w:rPr>
          <w:rFonts w:ascii="Calibri" w:cs="Calibri" w:eastAsia="Calibri" w:hAnsi="Calibri"/>
          <w:sz w:val="20"/>
          <w:szCs w:val="20"/>
        </w:rPr>
        <w:t xml:space="preserve"> before it is written anywhere. No bare numbers.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Staleness and confidence are tracked separately.</w:t>
      </w:r>
      <w:r>
        <w:rPr>
          <w:rFonts w:ascii="Calibri" w:cs="Calibri" w:eastAsia="Calibri" w:hAnsi="Calibri"/>
          <w:sz w:val="20"/>
          <w:szCs w:val="20"/>
        </w:rPr>
        <w:t xml:space="preserve"> A high-confidence rating that has not been re-checked in 18 months is stale, not low-confidence.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When sources disagree, surface both.</w:t>
      </w:r>
      <w:r>
        <w:rPr>
          <w:rFonts w:ascii="Calibri" w:cs="Calibri" w:eastAsia="Calibri" w:hAnsi="Calibri"/>
          <w:sz w:val="20"/>
          <w:szCs w:val="20"/>
        </w:rPr>
        <w:t xml:space="preserve"> Never silently pick one — a conflict becomes a review item carrying both versions and no proposed rating.</w:t>
      </w:r>
    </w:p>
    <w:p>
      <w:r>
        <w:br w:type="page"/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sz w:val="20"/>
          <w:szCs w:val="20"/>
        </w:rPr>
        <w:t xml:space="preserve">The 35 criteria</w:t>
      </w:r>
    </w:p>
    <w:p>
      <w:pPr>
        <w:spacing w:after="200" w:before="0"/>
      </w:pPr>
      <w:r>
        <w:rPr>
          <w:rFonts w:ascii="Calibri" w:cs="Calibri" w:eastAsia="Calibri" w:hAnsi="Calibri"/>
          <w:sz w:val="20"/>
          <w:szCs w:val="20"/>
        </w:rPr>
        <w:t xml:space="preserve">Grouped by sector. Each criterion states what is measured, in what unit, and the explicit thresholds separating H, M and L.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sz w:val="20"/>
          <w:szCs w:val="20"/>
        </w:rPr>
        <w:t xml:space="preserve">Power &amp; Utilities (5 criteria)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1000"/>
        <w:gridCol w:w="1500"/>
        <w:gridCol w:w="3898"/>
        <w:gridCol w:w="1500"/>
        <w:gridCol w:w="2500"/>
        <w:gridCol w:w="2500"/>
        <w:gridCol w:w="2500"/>
      </w:tblGrid>
      <w:tr>
        <w:trPr>
          <w:tblHeader/>
        </w:trPr>
        <w:tc>
          <w:tcPr>
            <w:tcW w:type="dxa" w:w="10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Pillar</w:t>
            </w:r>
          </w:p>
        </w:tc>
        <w:tc>
          <w:tcPr>
            <w:tcW w:type="dxa" w:w="38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Criterion / metric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Unit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 — more feasible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 — less feasible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PWR-T1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Technology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Levelised cost of renewable generation vs. new-build fossil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LCOE of utility-scale solar PV and onshore wind (USD/MWh) vs. LCOE of new-build CCGT/coal in the same region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USD/MWh, ratio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Renewable LCOE at or below new-build fossil LCOE without subsidy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Renewable LCOE within 10-30% of new-build fossil LCOE, or below only with subsidy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Renewable LCOE more than 30% above new-build fossil LCOE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PWR-T2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Technology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Grid-scale storage / firming technology readiness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Deployed grid-scale battery storage capacity (GWh) relative to variable renewable capacity (GW) in the region; TRL of long-duration storage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GWh storage per GW variable renewables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Storage-to-renewables ratio and grid flexibility sufficient to avoid material curtailment (region-specific benchmark, informed by IEA grid integration studies)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Storage deployment underway but curtailment or grid congestion already material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Storage capacity negligible relative to variable renewable penetration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PWR-R1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Effective carbon price on power generation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Carbon price applicable to power sector emissions (ETS price, carbon tax, or implicit price via clean energy mandate penalty)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USD/tCO2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Effective carbon price exceeds USD 60/tCO2 or binding 100% clean generation mandate with penalty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Effective carbon price USD 15-60/tCO2, or clean generation target without binding penalty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 material carbon price or clean generation mandate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PWR-R2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Renewable deployment target and permitting regime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Legally binding renewable capacity target (GW or % of generation) by target year; average grid connection queue time (years)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GW target, years to connect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Legally binding target with permitting reform reducing connection queue below 3 years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Target exists (binding or aspirational) but connection queue exceeds 3 years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 binding target, or connection queue exceeds 7 years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PWR-D1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Demand &amp; Economics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Corporate and utility PPA market depth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Annual volume of signed corporate/utility power purchase agreements (GW) for renewable generation in the region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GW/year signed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PPA market established and growing; multi-year forward contracting standard practice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PPA market exists but thin or concentrated in few counterparties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PPA market negligible; renewable generation sold predominantly on spot/merchant basis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sz w:val="20"/>
          <w:szCs w:val="20"/>
        </w:rPr>
        <w:t xml:space="preserve">Steel (5 criteria)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1000"/>
        <w:gridCol w:w="1500"/>
        <w:gridCol w:w="3898"/>
        <w:gridCol w:w="1500"/>
        <w:gridCol w:w="2500"/>
        <w:gridCol w:w="2500"/>
        <w:gridCol w:w="2500"/>
      </w:tblGrid>
      <w:tr>
        <w:trPr>
          <w:tblHeader/>
        </w:trPr>
        <w:tc>
          <w:tcPr>
            <w:tcW w:type="dxa" w:w="10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Pillar</w:t>
            </w:r>
          </w:p>
        </w:tc>
        <w:tc>
          <w:tcPr>
            <w:tcW w:type="dxa" w:w="38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Criterion / metric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Unit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 — more feasible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 — less feasible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STL-T1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Technology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Green hydrogen cost vs. DRI-H2 breakeven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Delivered cost of green hydrogen (USD/kg) at production site, vs. estimated breakeven cost for DRI-H2 route to be cost-competitive with BF-BOF at prevailing carbon price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USD/kg H2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Green hydrogen cost at or below breakeven (typically cited ~USD 1.5-2.0/kg range, region-specific)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Green hydrogen cost within 2x of breakeven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Green hydrogen cost more than 2x breakeven, or no green hydrogen supply chain present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STL-T2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Technology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Scrap steel availability (EAF route feasibility)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Domestic scrap steel collection and availability as % of crude steel production capacity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% of production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Scrap availability exceeds 50% of production capacity, supporting EAF as viable low-carbon route without new technology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Scrap availability 25-50% of production capacity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Scrap availability below 25% of production capacity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STL-R1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Effective carbon price on steel production incl. border adjustment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ETS/carbon tax price applicable to steel production, adjusted for free allocation phase-out and any import border levy (e.g. CBAM)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USD/tCO2 net of free allocation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Effective carbon price (net of free allocation) exceeds USD 50/tCO2 with border levy protecting domestic producers from unpriced imports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Carbon price applies but free allocation still material, or no border levy protecting against unpriced competition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 material carbon price on steel production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STL-R2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Green/low-carbon steel public procurement or building-code mandate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Existence and scope of government mandate requiring low-carbon steel in public infrastructure procurement or building codes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Binary/scope descriptor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Binding mandate in force covering material share of public procurement or construction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Voluntary standard or pilot mandate exists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 mandate or standard exists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STL-D1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Demand &amp; Economics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Green steel price premium and recoverability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Market premium for certified low-carbon steel (USD/tonne) vs. conventional, and share of premium covered by signed offtake contracts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USD/tonne premium; % under contract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Documented offtake contracts (e.g. automotive OEM commitments) cover a material share of announced low-carbon capacity at a disclosed premium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Premium exists and some pilot offtake agreements signed, but limited volume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 documented premium recovery mechanism; no material offtake contracts identified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sz w:val="20"/>
          <w:szCs w:val="20"/>
        </w:rPr>
        <w:t xml:space="preserve">Cement (5 criteria)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1000"/>
        <w:gridCol w:w="1500"/>
        <w:gridCol w:w="3898"/>
        <w:gridCol w:w="1500"/>
        <w:gridCol w:w="2500"/>
        <w:gridCol w:w="2500"/>
        <w:gridCol w:w="2500"/>
      </w:tblGrid>
      <w:tr>
        <w:trPr>
          <w:tblHeader/>
        </w:trPr>
        <w:tc>
          <w:tcPr>
            <w:tcW w:type="dxa" w:w="10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Pillar</w:t>
            </w:r>
          </w:p>
        </w:tc>
        <w:tc>
          <w:tcPr>
            <w:tcW w:type="dxa" w:w="38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Criterion / metric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Unit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 — more feasible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 — less feasible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CEM-T1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Technology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CCS capture technology deployment status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Number and capacity (Mtpa CO2) of operational or under-construction full-scale cement CCS facilities in the region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Mtpa capacity, facility count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At least one full-scale (&gt;0.3 Mtpa) operational facility in the region with a track record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Facility under construction or in final investment decision (FID) stage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 full-scale facility operational, under construction, or FID-approved in the region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CEM-T2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Technology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Clinker substitution rate (SCM availability)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Average clinker-to-cement ratio in the region; availability of supplementary cementitious materials (fly ash, slag, calcined clay)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Clinker ratio (%)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Regional clinker ratio below 0.65 with active SCM substitution programmes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Clinker ratio 0.65-0.80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Clinker ratio above 0.80 with limited SCM availability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CEM-R1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Effective carbon price on cement production incl. border adjustment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ETS/carbon tax price applicable to cement, net of free allocation, adjusted for any import border levy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USD/tCO2 net of free allocation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Effective net carbon price exceeds USD 50/tCO2 with border levy in force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Carbon price applies but free allocation still material or no border levy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 material carbon price on cement production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CEM-R2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CCS infrastructure support scheme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Existence of public funding mechanism for CCS infrastructure (capture, transport, storage) applicable to cement plants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Binary/scope, EUR or USD committed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Dedicated public funding scheme active with disbursed grants to cement CCS projects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Funding scheme exists but no disbursement to cement sector yet, or funding limited/competitive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 public funding mechanism identified for industrial CCS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CEM-D1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Demand &amp; Economics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Low-carbon cement premium recoverability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Market premium for low-carbon/CCS-derived cement (USD/tonne) vs. conventional; share recoverable via green public procurement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USD/tonne premium; % public procurement covered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Green public procurement rules or embodied-carbon building codes create binding demand covering a material share of low-carbon capacity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Voluntary standards or pilot procurement commitments exist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 recoverable premium mechanism identified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sz w:val="20"/>
          <w:szCs w:val="20"/>
        </w:rPr>
        <w:t xml:space="preserve">Chemicals (4 criteria)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1000"/>
        <w:gridCol w:w="1500"/>
        <w:gridCol w:w="3898"/>
        <w:gridCol w:w="1500"/>
        <w:gridCol w:w="2500"/>
        <w:gridCol w:w="2500"/>
        <w:gridCol w:w="2500"/>
      </w:tblGrid>
      <w:tr>
        <w:trPr>
          <w:tblHeader/>
        </w:trPr>
        <w:tc>
          <w:tcPr>
            <w:tcW w:type="dxa" w:w="10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Pillar</w:t>
            </w:r>
          </w:p>
        </w:tc>
        <w:tc>
          <w:tcPr>
            <w:tcW w:type="dxa" w:w="38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Criterion / metric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Unit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 — more feasible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 — less feasible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CHM-T1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Technology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Green/blue hydrogen availability for ammonia and feedstock use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Delivered cost of low-carbon hydrogen (USD/kg) vs. grey hydrogen cost at prevailing natural gas price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USD/kg H2, cost ratio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Low-carbon hydrogen cost within 20% of grey hydrogen cost, or carbon price closes the gap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Low-carbon hydrogen cost 20-100% above grey hydrogen cost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Low-carbon hydrogen more than 2x grey hydrogen cost, or no low-carbon hydrogen supply chain present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CHM-T2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Technology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Electrification of process heat (steam cracking) readiness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TRL of electric steam cracker technology; number of announced/piloted electric cracker projects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TRL, project count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TRL 7+ with commercial-scale pilot operating or announced FID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TRL 5-6, demonstration scale only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TRL below 5, lab/concept stage only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CHM-R1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Effective carbon price on chemicals production incl. border adjustment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ETS/carbon tax price applicable to chemicals production, net of free allocation, adjusted for any border levy where scope includes chemicals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USD/tCO2 net of free allocation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Effective net carbon price exceeds USD 50/tCO2 with border levy protection in force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Carbon price applies but free allocation material or no border levy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 material carbon price on chemicals production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CHM-D1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Demand &amp; Economics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Green ammonia/methanol offtake market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Volume (tonnes/year) of signed offtake agreements for green ammonia or green methanol, primarily driven by shipping fuel demand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Tonnes/year signed offtake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Material signed offtake volume from shipping or industrial buyers at disclosed premium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Pilot-scale offtake agreements signed, limited volume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 material offtake agreements identified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sz w:val="20"/>
          <w:szCs w:val="20"/>
        </w:rPr>
        <w:t xml:space="preserve">Critical Minerals &amp; Mining (4 criteria)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1000"/>
        <w:gridCol w:w="1500"/>
        <w:gridCol w:w="3898"/>
        <w:gridCol w:w="1500"/>
        <w:gridCol w:w="2500"/>
        <w:gridCol w:w="2500"/>
        <w:gridCol w:w="2500"/>
      </w:tblGrid>
      <w:tr>
        <w:trPr>
          <w:tblHeader/>
        </w:trPr>
        <w:tc>
          <w:tcPr>
            <w:tcW w:type="dxa" w:w="10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Pillar</w:t>
            </w:r>
          </w:p>
        </w:tc>
        <w:tc>
          <w:tcPr>
            <w:tcW w:type="dxa" w:w="38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Criterion / metric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Unit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 — more feasible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 — less feasible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MIN-T1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Technology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Mine electrification and processing technology readiness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Share of new mining equipment orders that are battery-electric; TRL of electrified ore processing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% of equipment orders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Battery-electric equipment commercially deployed at scale (multiple operating mines)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Pilot deployments underway, limited scale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Battery-electric equipment not yet deployed at operating mines in the region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MIN-R1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Fast-track permitting regime for strategic minerals projects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Statutory maximum permitting timeline (months) for a designated strategic minerals project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Months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Statutory fast-track permitting in force with maximum timeline below 30 months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Fast-track process exists but timeline exceeds 30 months or is discretionary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 fast-track permitting regime; standard permitting exceeds 5 years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MIN-R2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Domestic sourcing / content requirement policy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Existence and threshold of domestic or allied-sourcing content requirements tied to subsidy eligibility or public procurement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Binary, % threshold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Binding domestic/allied content requirement in force tied to material subsidy value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Requirement exists but threshold low or enforcement unclear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 domestic content requirement policy identified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MIN-D1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Demand &amp; Economics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Committed offtake and supply agreements vs. identified demand gap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Volume of long-term offtake agreements signed (tonnes/year) as a share of the region's projected NZE-scenario demand gap for the mineral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% of demand gap covered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Signed offtake agreements and committed expansion capacity cover a material share of the identified regional supply gap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Some offtake agreements signed but gap remains largely uncovered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Minimal offtake activity relative to the scale of the demand gap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sz w:val="20"/>
          <w:szCs w:val="20"/>
        </w:rPr>
        <w:t xml:space="preserve">Aviation (3 criteria)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1000"/>
        <w:gridCol w:w="1500"/>
        <w:gridCol w:w="3898"/>
        <w:gridCol w:w="1500"/>
        <w:gridCol w:w="2500"/>
        <w:gridCol w:w="2500"/>
        <w:gridCol w:w="2500"/>
      </w:tblGrid>
      <w:tr>
        <w:trPr>
          <w:tblHeader/>
        </w:trPr>
        <w:tc>
          <w:tcPr>
            <w:tcW w:type="dxa" w:w="10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Pillar</w:t>
            </w:r>
          </w:p>
        </w:tc>
        <w:tc>
          <w:tcPr>
            <w:tcW w:type="dxa" w:w="38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Criterion / metric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Unit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 — more feasible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 — less feasible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AVI-T1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Technology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SAF production capacity vs. jet fuel demand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Regional SAF production capacity (million litres/year) as a share of total regional jet fuel demand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% of jet fuel demand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SAF capacity exceeds 5% of regional jet fuel demand with credible near-term expansion pipeline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SAF capacity between 1-5% of demand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SAF capacity below 1% of regional jet fuel demand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AVI-R1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SAF blending mandate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Legally binding minimum SAF blending percentage by target year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% mandate by year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Binding blending mandate in force with escalating schedule and penalties for non-compliance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Mandate announced but not yet in force, or voluntary target only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 blending mandate or target identified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AVI-D1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Demand &amp; Economics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SAF price premium and corporate offtake coverage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SAF price premium vs. conventional jet fuel (USD/litre or multiple); volume covered by corporate/airline offtake agreements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Price multiple; % covered by offtake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Premium substantially offset by mandate compliance value or tax credit, with material offtake agreements in place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Premium partially offset; limited offtake agreements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Full premium borne by airline/passenger with no offset mechanism or offtake coverage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sz w:val="20"/>
          <w:szCs w:val="20"/>
        </w:rPr>
        <w:t xml:space="preserve">Shipping (3 criteria)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1000"/>
        <w:gridCol w:w="1500"/>
        <w:gridCol w:w="3898"/>
        <w:gridCol w:w="1500"/>
        <w:gridCol w:w="2500"/>
        <w:gridCol w:w="2500"/>
        <w:gridCol w:w="2500"/>
      </w:tblGrid>
      <w:tr>
        <w:trPr>
          <w:tblHeader/>
        </w:trPr>
        <w:tc>
          <w:tcPr>
            <w:tcW w:type="dxa" w:w="10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Pillar</w:t>
            </w:r>
          </w:p>
        </w:tc>
        <w:tc>
          <w:tcPr>
            <w:tcW w:type="dxa" w:w="38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Criterion / metric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Unit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 — more feasible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 — less feasible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SHP-T1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Technology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Dual-fuel/alternative-fuel vessel order book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Share of new vessel orders (by gross tonnage or vessel count) specified as methanol, ammonia, or LNG dual-fuel capable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% of new orders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Alternative-fuel-capable vessels exceed 30% of new orders in the relevant vessel class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Alternative-fuel-capable vessels 10-30% of new orders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Alternative-fuel-capable vessels below 10% of new orders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SHP-R1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Effective carbon price / fuel intensity mandate on shipping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Carbon price applicable to shipping emissions (e.g. EU ETS maritime inclusion) and/or binding fuel greenhouse gas intensity reduction mandate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USD/tCO2; % intensity reduction mandate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Both a carbon price and a binding fuel intensity mandate apply to shipping in this region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One of the two mechanisms applies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Neither mechanism applies; shipping decarbonisation remains voluntary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SHP-D1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Demand &amp; Economics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Green shipping corridor and cargo owner offtake commitments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Number of announced green shipping corridors; volume of freight committed by cargo owners (via Cargo Owners for Zero Emission Vessels or equivalent) to low-carbon shipping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Corridor count; committed freight volume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Multiple active green corridors with committed cargo volumes and disclosed premium mechanism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Green corridors announced but limited committed volume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 active green corridor commitments in the region's main trade routes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sz w:val="20"/>
          <w:szCs w:val="20"/>
        </w:rPr>
        <w:t xml:space="preserve">Heavy-Duty Road Transport (3 criteria)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1000"/>
        <w:gridCol w:w="1500"/>
        <w:gridCol w:w="3898"/>
        <w:gridCol w:w="1500"/>
        <w:gridCol w:w="2500"/>
        <w:gridCol w:w="2500"/>
        <w:gridCol w:w="2500"/>
      </w:tblGrid>
      <w:tr>
        <w:trPr>
          <w:tblHeader/>
        </w:trPr>
        <w:tc>
          <w:tcPr>
            <w:tcW w:type="dxa" w:w="10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Pillar</w:t>
            </w:r>
          </w:p>
        </w:tc>
        <w:tc>
          <w:tcPr>
            <w:tcW w:type="dxa" w:w="38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Criterion / metric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Unit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 — more feasible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 — less feasible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HDT-T1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Technology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Battery-electric/fuel-cell truck TCO parity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Total cost of ownership (TCO) of battery-electric heavy truck vs. diesel equivalent for the dominant regional duty cycle (regional distribution vs. long-haul)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TCO ratio (BEV:diesel)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TCO parity or advantage achieved for at least regional/depot-based duty cycles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TCO within 20% of parity for depot-based cycles; long-haul not yet competitive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TCO more than 20% above diesel for all duty cycles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HDT-R1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Zero-emission heavy vehicle sales mandate or CO2 standard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Binding CO2 emission standard or zero-emission sales mandate for new heavy trucks, with target year and stringency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% reduction or % ZEV by year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Binding standard/mandate in force with penalties, requiring material ZEV share within the assessment horizon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Standard announced but not yet binding, or binding with limited near-term stringency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 binding CO2 standard or ZEV mandate for heavy trucks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HDT-D1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Demand &amp; Economics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Charging/refuelling infrastructure density on freight corridors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Number of public heavy-duty charging/hydrogen refuelling points per 100km on the region's primary freight corridors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Points per 100km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Infrastructure density sufficient for unconstrained long-haul operation on primary corridors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Infrastructure present but limited to depot/regional use, gaps on long-haul corridors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Minimal public infrastructure; operation restricted to depot-based captive fleets</w:t>
            </w:r>
          </w:p>
        </w:tc>
      </w:tr>
    </w:tbl>
    <w:p>
      <w:pPr>
        <w:pStyle w:val="Heading2"/>
        <w:spacing w:after="100" w:before="220"/>
      </w:pPr>
      <w:r>
        <w:rPr>
          <w:rFonts w:ascii="Calibri" w:cs="Calibri" w:eastAsia="Calibri" w:hAnsi="Calibri"/>
          <w:sz w:val="20"/>
          <w:szCs w:val="20"/>
        </w:rPr>
        <w:t xml:space="preserve">Oil &amp; Gas Upstream (3 criteria)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1000"/>
        <w:gridCol w:w="1500"/>
        <w:gridCol w:w="3898"/>
        <w:gridCol w:w="1500"/>
        <w:gridCol w:w="2500"/>
        <w:gridCol w:w="2500"/>
        <w:gridCol w:w="2500"/>
      </w:tblGrid>
      <w:tr>
        <w:trPr>
          <w:tblHeader/>
        </w:trPr>
        <w:tc>
          <w:tcPr>
            <w:tcW w:type="dxa" w:w="10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Pillar</w:t>
            </w:r>
          </w:p>
        </w:tc>
        <w:tc>
          <w:tcPr>
            <w:tcW w:type="dxa" w:w="38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Criterion / metric</w:t>
            </w:r>
          </w:p>
        </w:tc>
        <w:tc>
          <w:tcPr>
            <w:tcW w:type="dxa" w:w="1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Unit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 — more feasible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</w:t>
            </w:r>
          </w:p>
        </w:tc>
        <w:tc>
          <w:tcPr>
            <w:tcW w:type="dxa" w:w="25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 — less feasible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OGU-T1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Technology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Methane abatement technology deployment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Share of regional upstream production covered by leak detection and repair (LDAR) programmes and flaring reduction technology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% of production covered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LDAR and flaring reduction technology deployed across a majority of regional production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Deployed at major operators but not sector-wide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Minimal deployment; routine flaring and unmonitored leakage remain common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OGU-R1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Methane regulation and fee structure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Existence of a binding methane emission limit or fee applicable to upstream operations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Binary; USD/tonne methane fee where applicable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Binding methane limit and/or fee in force with enforcement mechanism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Regulation announced or in phase-in, not yet fully enforced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 binding methane regulation identified</w:t>
            </w:r>
          </w:p>
        </w:tc>
      </w:tr>
      <w:tr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OGU-D1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Demand &amp; Economics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Market demand trajectory / structural decline exposure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A5A6E"/>
                <w:sz w:val="15"/>
                <w:szCs w:val="15"/>
              </w:rPr>
              <w:t xml:space="preserve">Projected regional oil and gas demand trajectory to 2035 under stated policy vs. announced pledges scenarios (IEA)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% change in demand 2024-2035</w:t>
            </w:r>
          </w:p>
        </w:tc>
        <w:tc>
          <w:tcPr>
            <w:tcW w:type="dxa" w:w="2500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Demand trajectory stable or growing under stated policies (lower stranding risk near-term, i.e. more 'feasible' to continue operating economically)</w:t>
            </w:r>
          </w:p>
        </w:tc>
        <w:tc>
          <w:tcPr>
            <w:tcW w:type="dxa" w:w="2500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Demand trajectory flat to moderate decline</w:t>
            </w:r>
          </w:p>
        </w:tc>
        <w:tc>
          <w:tcPr>
            <w:tcW w:type="dxa" w:w="2500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Demand trajectory in structural decline under regional policy settings</w:t>
            </w:r>
          </w:p>
        </w:tc>
      </w:tr>
    </w:tbl>
    <w:p>
      <w:r>
        <w:br w:type="page"/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sz w:val="20"/>
          <w:szCs w:val="20"/>
        </w:rPr>
        <w:t xml:space="preserve">The 105 ratings</w:t>
      </w:r>
    </w:p>
    <w:p>
      <w:pPr>
        <w:spacing w:after="200" w:before="0"/>
      </w:pPr>
      <w:r>
        <w:rPr>
          <w:rFonts w:ascii="Calibri" w:cs="Calibri" w:eastAsia="Calibri" w:hAnsi="Calibri"/>
          <w:sz w:val="20"/>
          <w:szCs w:val="20"/>
        </w:rPr>
        <w:t xml:space="preserve">Every criterion rated for all three regions, with the confidence tier attached to each rating.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1100"/>
        <w:gridCol w:w="4200"/>
        <w:gridCol w:w="3366"/>
        <w:gridCol w:w="3366"/>
        <w:gridCol w:w="3366"/>
      </w:tblGrid>
      <w:tr>
        <w:trPr>
          <w:tblHeader/>
        </w:trPr>
        <w:tc>
          <w:tcPr>
            <w:tcW w:type="dxa" w:w="11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Code</w:t>
            </w:r>
          </w:p>
        </w:tc>
        <w:tc>
          <w:tcPr>
            <w:tcW w:type="dxa" w:w="42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Criterion</w:t>
            </w:r>
          </w:p>
        </w:tc>
        <w:tc>
          <w:tcPr>
            <w:tcW w:type="dxa" w:w="3366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European Union</w:t>
            </w:r>
          </w:p>
        </w:tc>
        <w:tc>
          <w:tcPr>
            <w:tcW w:type="dxa" w:w="3366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United States</w:t>
            </w:r>
          </w:p>
        </w:tc>
        <w:tc>
          <w:tcPr>
            <w:tcW w:type="dxa" w:w="3366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China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PWR-T1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Levelised cost of renewable generation vs. new-build fossil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(medium)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PWR-T2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Grid-scale storage / firming technology readiness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PWR-R1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Effective carbon price on power generation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(high)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(high)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PWR-R2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Renewable deployment target and permitting regime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(high)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PWR-D1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Corporate and utility PPA market depth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(medium)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STL-T1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Green hydrogen cost vs. DRI-H2 breakeven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(high)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STL-T2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Scrap steel availability (EAF route feasibility)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(medium)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STL-R1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Effective carbon price on steel production incl. border adjustment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(high)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(high)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STL-R2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Green/low-carbon steel public procurement or building-code mandate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STL-D1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Green steel price premium and recoverability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(medium)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CEM-T1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CCS capture technology deployment status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CEM-T2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Clinker substitution rate (SCM availability)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CEM-R1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Effective carbon price on cement production incl. border adjustment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(high)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(high)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CEM-R2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CCS infrastructure support scheme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CEM-D1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Low-carbon cement premium recoverability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CHM-T1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Green/blue hydrogen availability for ammonia and feedstock use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(high)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CHM-T2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Electrification of process heat (steam cracking) readiness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(low)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CHM-R1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Effective carbon price on chemicals production incl. border adjustment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(high)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(medium)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CHM-D1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Green ammonia/methanol offtake market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(low)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MIN-T1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Mine electrification and processing technology readiness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(low)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(low)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MIN-R1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Fast-track permitting regime for strategic minerals projects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MIN-R2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Domestic sourcing / content requirement policy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(high)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MIN-D1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Committed offtake and supply agreements vs. identified demand gap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(medium)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AVI-T1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SAF production capacity vs. jet fuel demand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AVI-R1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SAF blending mandate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(high)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(medium)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AVI-D1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SAF price premium and corporate offtake coverage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SHP-T1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Dual-fuel/alternative-fuel vessel order book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(low)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SHP-R1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Effective carbon price / fuel intensity mandate on shipping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(medium)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SHP-D1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Green shipping corridor and cargo owner offtake commitments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HDT-T1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Battery-electric/fuel-cell truck TCO parity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HDT-R1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Zero-emission heavy vehicle sales mandate or CO2 standard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HDT-D1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Charging/refuelling infrastructure density on freight corridors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OGU-T1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Methane abatement technology deployment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(low)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OGU-R1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Methane regulation and fee structure</w:t>
            </w:r>
          </w:p>
        </w:tc>
        <w:tc>
          <w:tcPr>
            <w:tcW w:type="dxa" w:w="3366"/>
            <w:shd w:fill="D6EFD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  (high)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(high)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(medium)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OGU-D1</w:t>
            </w:r>
          </w:p>
        </w:tc>
        <w:tc>
          <w:tcPr>
            <w:tcW w:type="dxa" w:w="4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Market demand trajectory / structural decline exposure</w:t>
            </w:r>
          </w:p>
        </w:tc>
        <w:tc>
          <w:tcPr>
            <w:tcW w:type="dxa" w:w="3366"/>
            <w:shd w:fill="F7DA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  (high)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  <w:tc>
          <w:tcPr>
            <w:tcW w:type="dxa" w:w="3366"/>
            <w:shd w:fill="FBF0D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  (medium)</w:t>
            </w:r>
          </w:p>
        </w:tc>
      </w:tr>
    </w:tbl>
    <w:p>
      <w:r>
        <w:br w:type="page"/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sz w:val="20"/>
          <w:szCs w:val="20"/>
        </w:rPr>
        <w:t xml:space="preserve">The 86 sources</w:t>
      </w:r>
    </w:p>
    <w:p>
      <w:pPr>
        <w:spacing w:after="200" w:before="0"/>
      </w:pPr>
      <w:r>
        <w:rPr>
          <w:rFonts w:ascii="Calibri" w:cs="Calibri" w:eastAsia="Calibri" w:hAnsi="Calibri"/>
          <w:sz w:val="20"/>
          <w:szCs w:val="20"/>
        </w:rPr>
        <w:t xml:space="preserve">Grouped by access pattern — how the source can actually be retrieved, which determines whether re-verification can be automated. Only the 15 legal/regulatory sources are automated today; the other 71 require manual verification.</w:t>
      </w:r>
    </w:p>
    <w:p>
      <w:pPr>
        <w:pStyle w:val="Heading2"/>
        <w:spacing w:after="60" w:before="220"/>
      </w:pPr>
      <w:r>
        <w:rPr>
          <w:rFonts w:ascii="Calibri" w:cs="Calibri" w:eastAsia="Calibri" w:hAnsi="Calibri"/>
          <w:sz w:val="20"/>
          <w:szCs w:val="20"/>
        </w:rPr>
        <w:t xml:space="preserve">Legal / regulatory text (15)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A5A6E"/>
          <w:sz w:val="20"/>
          <w:szCs w:val="20"/>
        </w:rPr>
        <w:t xml:space="preserve">Automated. Stable ELI/CELEX identifiers survive amendment, so version changes are detectable without scraping prose.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3600"/>
        <w:gridCol w:w="2600"/>
        <w:gridCol w:w="1900"/>
        <w:gridCol w:w="2100"/>
        <w:gridCol w:w="5198"/>
      </w:tblGrid>
      <w:tr>
        <w:trPr>
          <w:tblHeader/>
        </w:trPr>
        <w:tc>
          <w:tcPr>
            <w:tcW w:type="dxa" w:w="36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26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Publisher</w:t>
            </w:r>
          </w:p>
        </w:tc>
        <w:tc>
          <w:tcPr>
            <w:tcW w:type="dxa" w:w="19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Criteria</w:t>
            </w:r>
          </w:p>
        </w:tc>
        <w:tc>
          <w:tcPr>
            <w:tcW w:type="dxa" w:w="21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Refresh cadence</w:t>
            </w:r>
          </w:p>
        </w:tc>
        <w:tc>
          <w:tcPr>
            <w:tcW w:type="dxa" w:w="51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Where to look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mkoq6qla--rhjhaw_x8_m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Alternative Fuels Infrastructure Regulation (2023/1804) compliance tracking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European Commission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HDT-D1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quarterly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Article 3 for TEN-T road network charging point power/distance requirements; Article 6 for hydrogen refuelling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gdkdnvjhikrjy4k_jchwa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CBAM Regulation - cement sector scope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European Commission / Official Journal of the EU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check for amending acts quarterly; consolidated text updates automatically at EUR-Lex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Full regulation text; Annex I for sectoral scope (steel, cement, aluminium, fertilisers, electricity, hydrogen); definitive regime phase-in from 1 January 2026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asvc9g7a2bn-oht3nq-gr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CBAM Regulation (2023/956) and implementing acts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European Commission / Official Journal of the EU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STL-R1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check for amending acts quarterly; consolidated text updates automatically at EUR-Lex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Full regulation text; Annex I for sectoral scope (steel, cement, aluminium, fertilisers, electricity, hydrogen); definitive regime phase-in from 1 January 2026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d4wnspj6zocpjoxvvvgnc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CBAM scope review - chemicals inclusion status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European Commission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CHM-R1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check for amending acts quarterly; consolidated text updates automatically at EUR-Lex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Full regulation text; Annex I for sectoral scope (steel, cement, aluminium, fertilisers, electricity, hydrogen); definitive regime phase-in from 1 January 2026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nzio96-y_rsgafngn4wks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CO2 emission standards for heavy-duty vehicles (Regulation 2024/1610)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Official Journal of the European Union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HDT-R1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quarterly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CO2 reduction targets for trucks &gt;7.5t: -45% (2030), -65% (2035), -90% (2040) vs. 2019 baseline; urban buses -90% (2030), -100% (2035)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kkg0b8eoscji9ebw6cvyx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Critical Raw Materials Act - benchmarks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Official Journal of the European Union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MIN-R2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quarterly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Article 3 for 2030 benchmarks (10% extraction / 40% processing / 25% recycling); Chapter III for Strategic Projects fast-track permitting (Article 12: 27-month target for extraction projects)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m-h_7vf7imhszrwgedmts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Critical Raw Materials Act (Regulation 2024/1252)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Official Journal of the European Union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quarterly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Article 3 for 2030 benchmarks (10% extraction / 40% processing / 25% recycling); Chapter III for Strategic Projects fast-track permitting (Article 12: 27-month target for extraction projects)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ynvgzkjntqvihydqpfuf_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ETS free allocation benchmarks - cement clinker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European Commission DG CLIMA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 (benchmark periods run in multi-year blocks; check for new implementing regulation at each period start)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Annex tables give benchmark values (allowances per tonne of product) by sector including steel hot metal, cement clinker, ammonia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dx7znxujzpmkt1il4y_r8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ETS free allocation benchmarks - chemicals subsectors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European Commission DG CLIMA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CHM-R1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 (benchmark periods run in multi-year blocks; check for new implementing regulation at each period start)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Annex tables give benchmark values (allowances per tonne of product) by sector including steel hot metal, cement clinker, ammonia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uujbbpynijl9bucotawik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ETS free allocation benchmarks - steel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European Commission DG CLIMA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STL-R1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 (benchmark periods run in multi-year blocks; check for new implementing regulation at each period start)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Annex tables give benchmark values (allowances per tonne of product) by sector including steel hot metal, cement clinker, ammonia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pp2nxz1swf9tu_onct5eh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ETS Maritime inclusion (Directive 2023/959)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Official Journal of the European Union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SHP-R1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quarterly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Phase-in schedule: 40% of verified emissions (2024), 70% (2025), 100% (2026)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lahjt0w542fplu3g_pgw4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FuelEU Maritime Regulation (2023/1805)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Official Journal of the European Union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SHP-R1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quarterly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GHG intensity reduction targets by year, escalating from 2025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vrlvveydjn358wg3k_xth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Methane Regulation (2024/1787)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Official Journal of the European Union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OGU-R1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quarterly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MRV obligations; import standard for non-EU suppliers applies from 2027 (Article 27)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i0n_9fw3dnn04vez0hulj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ReFuelEU Aviation Regulation (2023/2405)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Official Journal of the European Union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AVI-R1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quarterly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Article 4 and Annex I for SAF blending mandate schedule: 2% (2025) rising to 70% (2050), including sub-mandates for synthetic (e-)fuels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ueiqceeleokvkutec7in4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REPowerEU / Fit for 55 targets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European Commission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PWR-R2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quarterly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Article 3 for the binding 2030 EU-wide renewable target (42.5% headline, with 45% indicative); REPowerEU permitting acceleration provisions</w:t>
            </w:r>
          </w:p>
        </w:tc>
      </w:tr>
    </w:tbl>
    <w:p>
      <w:pPr>
        <w:pStyle w:val="Heading2"/>
        <w:spacing w:after="60" w:before="220"/>
      </w:pPr>
      <w:r>
        <w:rPr>
          <w:rFonts w:ascii="Calibri" w:cs="Calibri" w:eastAsia="Calibri" w:hAnsi="Calibri"/>
          <w:sz w:val="20"/>
          <w:szCs w:val="20"/>
        </w:rPr>
        <w:t xml:space="preserve">Structured API or dashboard (6)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A5A6E"/>
          <w:sz w:val="20"/>
          <w:szCs w:val="20"/>
        </w:rPr>
        <w:t xml:space="preserve">Not automated. Despite the name, most are dashboard front-ends rather than documented REST APIs.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3600"/>
        <w:gridCol w:w="2600"/>
        <w:gridCol w:w="1900"/>
        <w:gridCol w:w="2100"/>
        <w:gridCol w:w="5198"/>
      </w:tblGrid>
      <w:tr>
        <w:trPr>
          <w:tblHeader/>
        </w:trPr>
        <w:tc>
          <w:tcPr>
            <w:tcW w:type="dxa" w:w="36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26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Publisher</w:t>
            </w:r>
          </w:p>
        </w:tc>
        <w:tc>
          <w:tcPr>
            <w:tcW w:type="dxa" w:w="19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Criteria</w:t>
            </w:r>
          </w:p>
        </w:tc>
        <w:tc>
          <w:tcPr>
            <w:tcW w:type="dxa" w:w="21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Refresh cadence</w:t>
            </w:r>
          </w:p>
        </w:tc>
        <w:tc>
          <w:tcPr>
            <w:tcW w:type="dxa" w:w="51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Where to look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qclbpdjplfuangfvhssss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China national ETS price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Shanghai Environment and Energy Exchange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continuous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Daily CEA closing price; ICAP page gives narrative context on scope and allocation method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fxrxtvwyijwubj-ezgz63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ETS carbon price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European Energy Exchange (EEX) / European Commission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continuous / check at each review cycle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Daily EUA auction and spot price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ke-s822k_m5paljeddth4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NGFS Climate Scenarios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Network for Greening the Financial System (127 central banks and supervisors), hosted by IIASA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CEM-R1, CHM-R1, PWR-R1, STL-R1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new phase roughly every 12-18 months (Phase 5 released Nov 2024; short-term scenarios added May 2025)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Downloadable in CSV/XLSX; gives projected carbon prices, policy phase-out dates, and macro-financial impacts under Orderly/Disorderly/Hot House World scenario families — used here to source the carbon price trajectory that the H/M/L threshold in this criterion's rubric is benchmarked against.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pa0xjqnu20b_sgqv8fvu2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US National Electric Vehicle Infrastructure / DOE Alternative Fuels Data Center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 Department of Energy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HDT-D1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continuously updated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Public charging and alternative fuel infrastructure station locator and counts, filterable by vehicle class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nb0mbow5-kg-f3gkppy9j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USGS Mineral Commodity Summaries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United States Geological Survey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published January/February; data-only releases also available via data.usgs.gov by commodity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Two-page synopses per mineral commodity; world production, reserves, and US import reliance tables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thlgntarf8l56avkcnr9f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World Bank Carbon Pricing Dashboard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World Bank Group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continuous; annual report each spring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Interactive dashboard; filter by jurisdiction and instrument type (ETS / carbon tax); underlying annual report is 'State and Trends of Carbon Pricing'</w:t>
            </w:r>
          </w:p>
        </w:tc>
      </w:tr>
    </w:tbl>
    <w:p>
      <w:pPr>
        <w:pStyle w:val="Heading2"/>
        <w:spacing w:after="60" w:before="220"/>
      </w:pPr>
      <w:r>
        <w:rPr>
          <w:rFonts w:ascii="Calibri" w:cs="Calibri" w:eastAsia="Calibri" w:hAnsi="Calibri"/>
          <w:sz w:val="20"/>
          <w:szCs w:val="20"/>
        </w:rPr>
        <w:t xml:space="preserve">Industry tracker / database (10)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A5A6E"/>
          <w:sz w:val="20"/>
          <w:szCs w:val="20"/>
        </w:rPr>
        <w:t xml:space="preserve">Not automated. Mostly subscription or session-gated.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3600"/>
        <w:gridCol w:w="2600"/>
        <w:gridCol w:w="1900"/>
        <w:gridCol w:w="2100"/>
        <w:gridCol w:w="5198"/>
      </w:tblGrid>
      <w:tr>
        <w:trPr>
          <w:tblHeader/>
        </w:trPr>
        <w:tc>
          <w:tcPr>
            <w:tcW w:type="dxa" w:w="36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26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Publisher</w:t>
            </w:r>
          </w:p>
        </w:tc>
        <w:tc>
          <w:tcPr>
            <w:tcW w:type="dxa" w:w="19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Criteria</w:t>
            </w:r>
          </w:p>
        </w:tc>
        <w:tc>
          <w:tcPr>
            <w:tcW w:type="dxa" w:w="21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Refresh cadence</w:t>
            </w:r>
          </w:p>
        </w:tc>
        <w:tc>
          <w:tcPr>
            <w:tcW w:type="dxa" w:w="51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Where to look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j819sxjtjgnf2mqdc6o1i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China charging infrastructure statistics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China Electric Vehicle Charging Infrastructure Promotion Alliance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HDT-D1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monthly, publisher updates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Monthly public charging infrastructure statistics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ate1wwoxmgp5vbjxl_ubg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Clarksons Research World Fleet Register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Clarksons Research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SHP-T1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continuous (subscription required for full access)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Subscription database; new-build order book filterable by fuel type and propulsion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wbfafyippmvqisdgl3n17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DNV Alternative Fuels Insight platform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DNV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SHP-T1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continuously updated by publisher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Free public dashboard tracking alternative-fuel vessel orders and bunkering infrastructure by fuel type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auqgdmdempy76phxeu9sh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First Movers Coalition Cement &amp; Concrete commitments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World Economic Forum / US State Department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updated at major COP/WEF events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Member company demand commitments by sector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q00ulppm7epodxujnyvhb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Getting to Zero Coalition Green Corridors tracker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Global Maritime Forum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SHP-D1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check semi-annually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List of announced and active green shipping corridor initiatives with participants and status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uu5u5pg13u4vugb4xhuki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Global CCS Institute CO2RE database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Global CCS Institute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continuously updated by publisher; check quarterly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Filterable database of CCS/CCUS facilities by status (operational/construction/planned), sector, and region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hgvzsfwonroo8t9h1uldp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Global Cement and Concrete Association (GCCA) sustainability data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GCCA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CEM-T2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Getting the Numbers Right (GNR) database; clinker ratio and thermal/electrical intensity by region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k1zgpbjf5ma5e4bzcgtn3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IEA CCUS Projects Database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Energy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continuously updated by publisher; check quarterly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Filterable database of CCS/CCUS facilities by status (operational/construction/planned), sector, and region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qhoollizwdgy8joeswouu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Oil and Gas Methane Partnership (OGMP 2.0) reporting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United Nations Environment Programme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OGU-T1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Company-level methane reporting status and gold standard reporting members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asqodijqb_iiiwlrlmqyi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S&amp;P Global Market Intelligence - Metals &amp; Mining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S&amp;P Global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continuous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Subscription service; mining equipment and production tracking</w:t>
            </w:r>
          </w:p>
        </w:tc>
      </w:tr>
    </w:tbl>
    <w:p>
      <w:pPr>
        <w:pStyle w:val="Heading2"/>
        <w:spacing w:after="60" w:before="220"/>
      </w:pPr>
      <w:r>
        <w:rPr>
          <w:rFonts w:ascii="Calibri" w:cs="Calibri" w:eastAsia="Calibri" w:hAnsi="Calibri"/>
          <w:sz w:val="20"/>
          <w:szCs w:val="20"/>
        </w:rPr>
        <w:t xml:space="preserve">Periodic PDF report (27)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A5A6E"/>
          <w:sz w:val="20"/>
          <w:szCs w:val="20"/>
        </w:rPr>
        <w:t xml:space="preserve">Not automated. Annual PDFs where the locator field doubles as the extraction instruction.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3600"/>
        <w:gridCol w:w="2600"/>
        <w:gridCol w:w="1900"/>
        <w:gridCol w:w="2100"/>
        <w:gridCol w:w="5198"/>
      </w:tblGrid>
      <w:tr>
        <w:trPr>
          <w:tblHeader/>
        </w:trPr>
        <w:tc>
          <w:tcPr>
            <w:tcW w:type="dxa" w:w="36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26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Publisher</w:t>
            </w:r>
          </w:p>
        </w:tc>
        <w:tc>
          <w:tcPr>
            <w:tcW w:type="dxa" w:w="19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Criteria</w:t>
            </w:r>
          </w:p>
        </w:tc>
        <w:tc>
          <w:tcPr>
            <w:tcW w:type="dxa" w:w="21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Refresh cadence</w:t>
            </w:r>
          </w:p>
        </w:tc>
        <w:tc>
          <w:tcPr>
            <w:tcW w:type="dxa" w:w="51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Where to look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zbub5-qewjp2gn0iukn6q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BloombergNEF Corporate Energy Market Outlook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BloombergNEF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varies by report series, generally 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Subscription service; specific report titles vary by year — verify current title via BNEF's published research index at each review cycle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qxy8fkn0vtbvqjlsf428w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BloombergNEF Energy Storage Outlook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BloombergNEF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PWR-T2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varies by report series, generally 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Subscription service; specific report titles vary by year — verify current title via BNEF's published research index at each review cycle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4s9oumystey6yvwfwz7p8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BloombergNEF Green Steel Tracker / Premium report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BloombergNEF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STL-D1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varies by report series, generally 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Subscription service; specific report titles vary by year — verify current title via BNEF's published research index at each review cycle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riz8yhetwtjuj85mf8kac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BloombergNEF Hydrogen Levelized Cost Report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BloombergNEF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STL-T1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varies by report series, generally 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Subscription service; specific report titles vary by year — verify current title via BNEF's published research index at each review cycle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l0vwxqpfibztpt4nvpkqs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IATA SAF price tracking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Air Transport Association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AVI-D1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periodic, check quarterly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IATA SAF programme page; price tracking data typically published via IATA Economics reports and SAF fact sheets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abqkrg0vhlk56yk_j7zii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IATA Sustainable Aviation Fuel Fact Sheet / SAF Tracker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Air Transport Association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AVI-T1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with interim updates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 SAF production volume vs. global jet fuel demand; price differential data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brbbezz1lm5kjnorxxdad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ICCT Total Cost of Ownership analyses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Council on Clean Transportation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HDT-T1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check for new regional TCO updates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Search publications by 'total cost of ownership' + region; separate reports for EU, US, China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8aww-bq_-c4fyrv2m1qmn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IEA Aviation tracking report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Energy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AVI-T1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typically published October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Regional demand projections under STEPS, APS, and NZE scenarios, by fuel and sector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lfpnswaubtjvl7f0qs3ii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IEA Cement Technology Roadmap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Energy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CEM-T2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IEA Energy System tracking page for cement sector; technology roadmap content integrated into IEA industry tracking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vmoohhoajspud3ohc-u_r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IEA Critical Minerals Outlook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Energy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Sub-pages: /market-review, /outlook-for-key-minerals, /executive-summary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upycaccxqrekiuzsohw00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IEA Critical Minerals Outlook - demand-supply gap tables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Energy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Sub-pages: /market-review, /outlook-for-key-minerals, /executive-summary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nlep5vuiucksnrzr7vixq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IEA Energy Storage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Energy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PWR-T2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IEA Energy System tracking page for grid-scale storage; annual data updates within IEA Electricity report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lmv0bvahvvg5tv-ep-y5_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IEA Global EV Outlook - heavy-duty vehicles chapter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Energy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HDT-T1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typically published October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Regional demand projections under STEPS, APS, and NZE scenarios, by fuel and sector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lp-bhy4ryd4a34tsvmdiu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IEA Global Hydrogen Review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Energy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CHM-T1, STL-T1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typically published October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Sub-pages: /hydrogen-production, /hydrogen-demand, /policies, /trade-and-infrastructure, /investment-finance-and-innovation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-131dcxn9mb7ullxmgt-0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IEA Methane Tracker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Energy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OGU-T1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typically published March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/key-findings sub-page; includes IEA Methane Abatement Model (2024) for country/segment abatement cost curves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kmxf9fybe_56_cn1zvy-5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IEA Renewables market report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Energy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PWR-R2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typically published October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/executive-summary sub-page for VRE integration phase assessment by country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knmhbjipdcwjjvh6230bn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IEA The Future of Petrochemicals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Energy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CHM-T1, CHM-T2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typically published October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Regional demand projections under STEPS, APS, and NZE scenarios, by fuel and sector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rc17apki0xnzcjuf9rqys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IEA World Energy Investment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Energy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typically published June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 global and regional energy investment tracking by technology and sector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jsamhpxgyj_tknsp1i-gy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IEA World Energy Outlook - regional demand scenarios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Energy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OGU-D1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typically published October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Regional demand projections under STEPS, APS, and NZE scenarios, by fuel and sector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fcpvqeue30t0v9awzi5xa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IRENA Renewable Power Generation Costs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Renewable Energy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typically published September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Executive summary PDF gives headline LCOE figures by technology and region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48aqcjwpmfukpaomgmwwv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Lazard Levelized Cost of Energy Analysis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Lazard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Unsubsidized LCOE ranges by technology, US-focused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5oplgxopvwb2dejgcicyj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Mission Possible Partnership Steel sector tracker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Mission Possible Partnership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STL-D1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but publication timing is less regular than IEA/IRENA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Sector-specific transition strategy reports; check publications page for the current version per sector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r7wjc_nfrp8r5742m7zlj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Mission Possible Partnership Steel Transition Strategy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Mission Possible Partnership / Energy Transitions Commission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STL-T1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but publication timing is less regular than IEA/IRENA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Sector-specific transition strategy reports; check publications page for the current version per sector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g30gz0k_sqd-gyegm6l9x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Mission Possible: Reaching Net-Zero Carbon Emissions from Harder-to-Abate Sectors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Energy Transitions Commission (ETC)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AVI-T1, CEM-T1, CHM-T1, SHP-T1, STL-T1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irregular — ETC publishes updates and sector-specific follow-ons rather than a fixed annual cycle; check publications page each review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Sector-specific technical abatement pathways for cement, steel, plastics, aviation, shipping, trucking; distinguishes proven-technology sectors from those needing further technology investment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fhq4hs-wyygm5t8i54_l2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OECD Steel Market Developments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OECD Steel Committee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STL-T2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semi-annual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Semi-annual OECD Steel Committee market monitoring report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qc0sb18swiums2m-8qm8g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RE100 Annual Report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Climate Group / CDP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 report on corporate renewable procurement volumes by RE100 member companies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rwrncbiufum5dzm87txcu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World Steel Association Steel Statistical Yearbook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World Steel Association (worldsteel)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STL-T2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 production, EAF vs. BF-BOF share, and scrap consumption data by country</w:t>
            </w:r>
          </w:p>
        </w:tc>
      </w:tr>
    </w:tbl>
    <w:p>
      <w:pPr>
        <w:pStyle w:val="Heading2"/>
        <w:spacing w:after="60" w:before="220"/>
      </w:pPr>
      <w:r>
        <w:rPr>
          <w:rFonts w:ascii="Calibri" w:cs="Calibri" w:eastAsia="Calibri" w:hAnsi="Calibri"/>
          <w:sz w:val="20"/>
          <w:szCs w:val="20"/>
        </w:rPr>
        <w:t xml:space="preserve">Government agency publication (21)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A5A6E"/>
          <w:sz w:val="20"/>
          <w:szCs w:val="20"/>
        </w:rPr>
        <w:t xml:space="preserve">Not automated. The weakest single-source reliability, especially for non-English sources.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3600"/>
        <w:gridCol w:w="2600"/>
        <w:gridCol w:w="1900"/>
        <w:gridCol w:w="2100"/>
        <w:gridCol w:w="5198"/>
      </w:tblGrid>
      <w:tr>
        <w:trPr>
          <w:tblHeader/>
        </w:trPr>
        <w:tc>
          <w:tcPr>
            <w:tcW w:type="dxa" w:w="36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26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Publisher</w:t>
            </w:r>
          </w:p>
        </w:tc>
        <w:tc>
          <w:tcPr>
            <w:tcW w:type="dxa" w:w="19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Criteria</w:t>
            </w:r>
          </w:p>
        </w:tc>
        <w:tc>
          <w:tcPr>
            <w:tcW w:type="dxa" w:w="21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Refresh cadence</w:t>
            </w:r>
          </w:p>
        </w:tc>
        <w:tc>
          <w:tcPr>
            <w:tcW w:type="dxa" w:w="51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Where to look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gg0uzbq8sgc0redl8l8qs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California Advanced Clean Fleets / Advanced Clean Trucks regulation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California Air Resources Board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HDT-R1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monitor closely given ongoing litigation/waiver status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ZEV sales percentage requirements and fleet purchase mandates by year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b5-b4iwc0bbn7yooezjzg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China industrial decarbonisation funding programmes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National Development and Reform Commission (China)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CEM-R2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quarterly given active expansion phase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November 2025 MEE allocation plan for steel/cement/aluminium sectors confirms 2024-2025 free allocation basis and 2027 target for absolute cap transition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matqg-xbavnuztreosijx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China methane control action plan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Ministry of Ecology and Environment (China)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OGU-R1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Ministry of Ecology and Environment official site; methane action plan published in Chinese, search for '甲烷排放控制行动方案'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ryopmdiesdjzoopiybvuv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China Ministry of Natural Resources mining approval process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Ministry of Natural Resources (China)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Official ministry site; mining licence and approval procedures published in Chinese only — requires translation for non-Chinese-speaking researchers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ztusuw4h14eb-80p58uba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China national ETS sector coverage roadmap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Ministry of Ecology and Environment (China)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STL-R1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quarterly given active expansion phase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November 2025 MEE allocation plan for steel/cement/aluminium sectors confirms 2024-2025 free allocation basis and 2027 target for absolute cap transition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fwyopeouqz2m7cata7pb1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China NEA renewable targets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National Energy Administration (China)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PWR-R2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quarterly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 and quarterly capacity addition statistics; 14th Five-Year Plan renewable targets (exceeded 1,200 GW wind+solar target in 2024, six years ahead of the original 2030 goal)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9ahxpvsmspafpg9qvyd9k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China NEV mandate - commercial vehicles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Ministry of Industry and Information Technology (China)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HDT-R1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NEV credit requirements and commercial vehicle sales share targets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6jxmzum3otgg89gyyohqn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Green Public Procurement - construction criteria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European Commission DG ENV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criteria updated periodically per sector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Sector-specific GPP criteria documents, incl. construction/buildings and infrastructure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f_ie1o82ooxcch1pv5w30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Green Public Procurement criteria - construction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European Commission DG ENV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STL-R2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criteria updated periodically per sector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Sector-specific GPP criteria documents, incl. construction/buildings and infrastructure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3jnqmuvual1qabreazvj1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EU Innovation Fund award decisions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European Climate, Infrastructure and Environment Executive Agency (CINEA)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CEM-R2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per call round (roughly annual)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Award decisions by call round, searchable by sector and project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dhc0kzpijg2tvx5egcl2o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ICAO CORSIA scheme status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Civil Aviation Organization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AVI-R1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check ahead of each phase transition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State participation list (voluntary pilot phase 2021-2026, first obligatory phase from 2027); China participation status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ucdaahg1r_juca7ddnq3h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IMO GHG Strategy implementation tracker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Maritime Organization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CHM-D1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check ahead of each MEPC session (roughly biannual) for mid-term measures progress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Adopted resolution MEPC.377(80); checkpoints for 2030 (20-30% reduction) and 2040 (70-80% reduction) vs. 2008; net-zero 'by or around' 2050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zxuhbztqpqpxidxgpaelh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IMO Revised GHG Strategy and mid-term measures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International Maritime Organization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SHP-R1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check ahead of each MEPC session (roughly biannual) for mid-term measures progress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Adopted resolution MEPC.377(80); checkpoints for 2030 (20-30% reduction) and 2040 (70-80% reduction) vs. 2008; net-zero 'by or around' 2050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vrhhjku6m63ysxm5bcc2n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National/state building codes register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Various national standards bodies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STL-R2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varies significantly by jurisdiction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 single global register — International Code Council (US) as a starting reference point; verify per-jurisdiction embodied carbon requirements via national standards bodies named in the criteria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cg0-4np-u_m2uhb77hgci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US DOE Industrial Demonstrations Program awards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 Department of Energy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CEM-R2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monitor closely for continuity under current administration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Awarded projects list by sector including cement, steel, chemicals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nit1uzz76igozugekvwax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US EPA Heavy-Duty Phase 3 GHG standards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 Environmental Protection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HDT-R1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monitor closely given litigation risk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Final rule and implementation status; subject to ongoing litigation and potential reconsideration under the current administration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-v00am4eykolvvsyehqu4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US EPA Methane Emissions Reduction Program / Waste Emissions Charge (IRA)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 Environmental Protection Agency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OGU-R1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monitor closely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Congressional Review Act joint resolution (H.J.Res.35, P.L. 119-2, signed 14 March 2025) nullified the 2024 WEC implementing rule; EPA barred from collecting the charge until 2034; underlying statutory obligation remains but is currently unenforceable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01r_53smm8b7caklosce1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US Federal Buy Clean Initiative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 General Services Administration / EPA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STL-R2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monitor for continuity under current administration priorities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Low-embodied-carbon material procurement standards for federal construction contracts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ithsukjpdgstqcyjf4plm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US Fixing America's Surface Transportation Act / permitting reform tracker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 Department of Interior / Congressional Research Service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monitor closely given active legislative attention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Track federal permitting reform legislation via Congress.gov; also monitor Federal Permitting Improvement Steering Council dashboard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xkyizcr-ll62fu8ic2vwn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US Inflation Reduction Act Section 30D critical minerals requirements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 Internal Revenue Service / US Treasury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MIN-R2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monitor closely — credit status changed materially in 2025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Critical minerals sourcing thresholds under Section 30D(e); FEOC exclusion rules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hyperlink w:history="1" r:id="rIdkwudoklsujiupskp0kdnf">
              <w:r>
                <w:rPr>
                  <w:rFonts w:ascii="Calibri" w:cs="Calibri" w:eastAsia="Calibri" w:hAnsi="Calibri"/>
                  <w:color w:val="2A4FB7"/>
                  <w:sz w:val="17"/>
                  <w:szCs w:val="17"/>
                  <w:u w:val="single"/>
                </w:rPr>
                <w:t xml:space="preserve">US SAF Grand Challenge / IRA 40B tax credit</w:t>
              </w:r>
            </w:hyperlink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US Department of Energy / US Treasury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AVI-R1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annual, monitor for continuity under current administration priorities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Low-embodied-carbon material procurement standards for federal construction contracts</w:t>
            </w:r>
          </w:p>
        </w:tc>
      </w:tr>
    </w:tbl>
    <w:p>
      <w:pPr>
        <w:pStyle w:val="Heading2"/>
        <w:spacing w:after="60" w:before="220"/>
      </w:pPr>
      <w:r>
        <w:rPr>
          <w:rFonts w:ascii="Calibri" w:cs="Calibri" w:eastAsia="Calibri" w:hAnsi="Calibri"/>
          <w:sz w:val="20"/>
          <w:szCs w:val="20"/>
        </w:rPr>
        <w:t xml:space="preserve">Company disclosure (7)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A5A6E"/>
          <w:sz w:val="20"/>
          <w:szCs w:val="20"/>
        </w:rPr>
        <w:t xml:space="preserve">Deliberately never auto-extracted — discovery and triage only. These are the 7 sources with no fixed URL, since which company matters depends on who is being assessed.</w:t>
      </w:r>
    </w:p>
    <w:tbl>
      <w:tblPr>
        <w:tblW w:type="dxa" w:w="15398"/>
        <w:tblBorders>
          <w:top w:val="single" w:color="C9C9D4" w:sz="2"/>
          <w:left w:val="single" w:color="C9C9D4" w:sz="2"/>
          <w:bottom w:val="single" w:color="C9C9D4" w:sz="2"/>
          <w:right w:val="single" w:color="C9C9D4" w:sz="2"/>
          <w:insideH w:val="single" w:color="DEDEE6" w:sz="2"/>
          <w:insideV w:val="single" w:color="DEDEE6" w:sz="2"/>
        </w:tblBorders>
      </w:tblPr>
      <w:tblGrid>
        <w:gridCol w:w="3600"/>
        <w:gridCol w:w="2600"/>
        <w:gridCol w:w="1900"/>
        <w:gridCol w:w="2100"/>
        <w:gridCol w:w="5198"/>
      </w:tblGrid>
      <w:tr>
        <w:trPr>
          <w:tblHeader/>
        </w:trPr>
        <w:tc>
          <w:tcPr>
            <w:tcW w:type="dxa" w:w="36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26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Publisher</w:t>
            </w:r>
          </w:p>
        </w:tc>
        <w:tc>
          <w:tcPr>
            <w:tcW w:type="dxa" w:w="19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Criteria</w:t>
            </w:r>
          </w:p>
        </w:tc>
        <w:tc>
          <w:tcPr>
            <w:tcW w:type="dxa" w:w="2100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Refresh cadence</w:t>
            </w:r>
          </w:p>
        </w:tc>
        <w:tc>
          <w:tcPr>
            <w:tcW w:type="dxa" w:w="5198"/>
            <w:shd w:fill="3B2F8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Where to look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Company disclosures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Airlines and SAF producers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AVI-D1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per company reporting cycle (typically annual, some quarterly)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 single URL — retrieve from the specific company's investor relations page (annual report, capital markets day materials, or sustainability report). Identify relevant companies via sector leaders named in Mission Possible Partnership / BloombergNEF sector trackers, then search each company's IR site directly. This is the source type flagged in the Automation Pipeline Design Document (Section 5.6) as requiring discovery-and-triage rather than single-URL retrieval.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Company disclosures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e.g. Maersk, cargo owner coalitions (coZEV)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SHP-D1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per company reporting cycle (typically annual, some quarterly)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 single URL — retrieve from the specific company's investor relations page (annual report, capital markets day materials, or sustainability report). Identify relevant companies via sector leaders named in Mission Possible Partnership / BloombergNEF sector trackers, then search each company's IR site directly. This is the source type flagged in the Automation Pipeline Design Document (Section 5.6) as requiring discovery-and-triage rather than single-URL retrieval.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Company investor disclosures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Individual cement producers (e.g. Heidelberg Materials, Holcim)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CEM-D1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per company reporting cycle (typically annual, some quarterly)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 single URL — retrieve from the specific company's investor relations page (annual report, capital markets day materials, or sustainability report). Identify relevant companies via sector leaders named in Mission Possible Partnership / BloombergNEF sector trackers, then search each company's IR site directly. This is the source type flagged in the Automation Pipeline Design Document (Section 5.6) as requiring discovery-and-triage rather than single-URL retrieval.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Company investor disclosures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Individual miners (e.g. Freeport-McMoRan, Albemarle)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MIN-D1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per company reporting cycle (typically annual, some quarterly)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 single URL — retrieve from the specific company's investor relations page (annual report, capital markets day materials, or sustainability report). Identify relevant companies via sector leaders named in Mission Possible Partnership / BloombergNEF sector trackers, then search each company's IR site directly. This is the source type flagged in the Automation Pipeline Design Document (Section 5.6) as requiring discovery-and-triage rather than single-URL retrieval.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Company investor disclosures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Individual steelmakers (annual reports, capital markets days)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STL-D1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per company reporting cycle (typically annual, some quarterly)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 single URL — retrieve from the specific company's investor relations page (annual report, capital markets day materials, or sustainability report). Identify relevant companies via sector leaders named in Mission Possible Partnership / BloombergNEF sector trackers, then search each company's IR site directly. This is the source type flagged in the Automation Pipeline Design Document (Section 5.6) as requiring discovery-and-triage rather than single-URL retrieval.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Company investor disclosures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e.g. Maersk, Yara, OCI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CHM-D1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per company reporting cycle (typically annual, some quarterly)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 single URL — retrieve from the specific company's investor relations page (annual report, capital markets day materials, or sustainability report). Identify relevant companies via sector leaders named in Mission Possible Partnership / BloombergNEF sector trackers, then search each company's IR site directly. This is the source type flagged in the Automation Pipeline Design Document (Section 5.6) as requiring discovery-and-triage rather than single-URL retrieval.</w:t>
            </w:r>
          </w:p>
        </w:tc>
      </w:tr>
      <w:t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Company/consortium technical disclosures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e.g. BASF/SABIC/Linde electric cracker pilot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CHM-T2</w:t>
            </w:r>
          </w:p>
        </w:tc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per company reporting cycle (typically annual, some quarterly)</w:t>
            </w:r>
          </w:p>
        </w:tc>
        <w:tc>
          <w:tcPr>
            <w:tcW w:type="dxa" w:w="51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 single URL — retrieve from the specific company's investor relations page (annual report, capital markets day materials, or sustainability report). Identify relevant companies via sector leaders named in Mission Possible Partnership / BloombergNEF sector trackers, then search each company's IR site directly. This is the source type flagged in the Automation Pipeline Design Document (Section 5.6) as requiring discovery-and-triage rather than single-URL retrieval.</w:t>
            </w:r>
          </w:p>
        </w:tc>
      </w:tr>
    </w:tbl>
    <w:p>
      <w:r>
        <w:br w:type="page"/>
      </w:r>
    </w:p>
    <w:p>
      <w:pPr>
        <w:pStyle w:val="Heading1"/>
        <w:spacing w:after="160" w:before="0"/>
      </w:pPr>
      <w:r>
        <w:rPr>
          <w:rFonts w:ascii="Calibri" w:cs="Calibri" w:eastAsia="Calibri" w:hAnsi="Calibri"/>
          <w:sz w:val="20"/>
          <w:szCs w:val="20"/>
        </w:rPr>
        <w:t xml:space="preserve">Known data issues</w:t>
      </w:r>
    </w:p>
    <w:p>
      <w:pPr>
        <w:spacing w:after="160" w:before="0"/>
      </w:pPr>
      <w:r>
        <w:rPr>
          <w:rFonts w:ascii="Calibri" w:cs="Calibri" w:eastAsia="Calibri" w:hAnsi="Calibri"/>
          <w:sz w:val="20"/>
          <w:szCs w:val="20"/>
        </w:rPr>
        <w:t xml:space="preserve">Recorded rather than silently patched, so a reader can judge what still needs a human.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•  </w:t>
      </w:r>
      <w:r>
        <w:rPr>
          <w:rFonts w:ascii="Calibri" w:cs="Calibri" w:eastAsia="Calibri" w:hAnsi="Calibri"/>
          <w:sz w:val="20"/>
          <w:szCs w:val="20"/>
        </w:rPr>
        <w:t xml:space="preserve">Two source URLs look copy-pasted from a neighbouring entry and have been left as-is rather than guessed at: US_SAF_Grand_Challenge_IRA_40B_tax_credit points at sustainability.gov/buyclean (the Buy Clean entry's URL), and IEA_CCUS_Projects_Database points at co2re.co (the Global CCS Institute's URL). Both need a human to re-source.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•  </w:t>
      </w:r>
      <w:r>
        <w:rPr>
          <w:rFonts w:ascii="Calibri" w:cs="Calibri" w:eastAsia="Calibri" w:hAnsi="Calibri"/>
          <w:sz w:val="20"/>
          <w:szCs w:val="20"/>
        </w:rPr>
        <w:t xml:space="preserve">95 criterion-source links dedupe to 86 registry entries. The registry keeps per-criterion duplicates for company disclosures rather than sharing one key.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•  </w:t>
      </w:r>
      <w:r>
        <w:rPr>
          <w:rFonts w:ascii="Calibri" w:cs="Calibri" w:eastAsia="Calibri" w:hAnsi="Calibri"/>
          <w:sz w:val="20"/>
          <w:szCs w:val="20"/>
        </w:rPr>
        <w:t xml:space="preserve">Source count corrected from 7 to 6 for structured_api_or_dashboard. The original notes claimed 7 and named an LSE_Grantham_CCLW entry that does not exist in the registry.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•  </w:t>
      </w:r>
      <w:r>
        <w:rPr>
          <w:rFonts w:ascii="Calibri" w:cs="Calibri" w:eastAsia="Calibri" w:hAnsi="Calibri"/>
          <w:sz w:val="20"/>
          <w:szCs w:val="20"/>
        </w:rPr>
        <w:t xml:space="preserve">Criterion codes normalised to hyphens. Shipping originally used underscores (SHP_T1); all 35 now match the same pattern, pinned by a schema constraint and a test.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•  </w:t>
      </w:r>
      <w:r>
        <w:rPr>
          <w:rFonts w:ascii="Calibri" w:cs="Calibri" w:eastAsia="Calibri" w:hAnsi="Calibri"/>
          <w:sz w:val="20"/>
          <w:szCs w:val="20"/>
        </w:rPr>
        <w:t xml:space="preserve">7 of 95 source entries carry no URL. These are the company_disclosure entries, which correctly record a retrieval methodology instead.</w:t>
      </w:r>
    </w:p>
    <w:sectPr>
      <w:pgSz w:w="11906" w:h="16838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240"/>
    </w:pPr>
    <w:rPr>
      <w:rFonts w:ascii="Calibri" w:cs="Calibri" w:eastAsia="Calibri" w:hAnsi="Calibri"/>
      <w:b/>
      <w:bCs/>
      <w:color w:val="3B2F8C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2B2B3A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koq6qla--rhjhaw_x8_m" Type="http://schemas.openxmlformats.org/officeDocument/2006/relationships/hyperlink" Target="https://eur-lex.europa.eu/eli/reg/2023/1804/2026-01-08/eng" TargetMode="External"/><Relationship Id="rIdgdkdnvjhikrjy4k_jchwa" Type="http://schemas.openxmlformats.org/officeDocument/2006/relationships/hyperlink" Target="https://eur-lex.europa.eu/eli/reg/2023/956/oj/eng" TargetMode="External"/><Relationship Id="rIdasvc9g7a2bn-oht3nq-gr" Type="http://schemas.openxmlformats.org/officeDocument/2006/relationships/hyperlink" Target="https://eur-lex.europa.eu/eli/reg/2023/956/oj/eng" TargetMode="External"/><Relationship Id="rIdd4wnspj6zocpjoxvvvgnc" Type="http://schemas.openxmlformats.org/officeDocument/2006/relationships/hyperlink" Target="https://eur-lex.europa.eu/eli/reg/2023/956/oj/eng" TargetMode="External"/><Relationship Id="rIdnzio96-y_rsgafngn4wks" Type="http://schemas.openxmlformats.org/officeDocument/2006/relationships/hyperlink" Target="https://eur-lex.europa.eu/eli/reg/2024/1610/oj" TargetMode="External"/><Relationship Id="rIdkkg0b8eoscji9ebw6cvyx" Type="http://schemas.openxmlformats.org/officeDocument/2006/relationships/hyperlink" Target="https://eur-lex.europa.eu/eli/reg/2024/1252/2024-05-03/eng" TargetMode="External"/><Relationship Id="rIdm-h_7vf7imhszrwgedmts" Type="http://schemas.openxmlformats.org/officeDocument/2006/relationships/hyperlink" Target="https://eur-lex.europa.eu/eli/reg/2024/1252/2024-05-03/eng" TargetMode="External"/><Relationship Id="rIdynvgzkjntqvihydqpfuf_" Type="http://schemas.openxmlformats.org/officeDocument/2006/relationships/hyperlink" Target="https://eur-lex.europa.eu/eli/reg_impl/2021/447/2026-03-18/eng" TargetMode="External"/><Relationship Id="rIddx7znxujzpmkt1il4y_r8" Type="http://schemas.openxmlformats.org/officeDocument/2006/relationships/hyperlink" Target="https://eur-lex.europa.eu/eli/reg_impl/2021/447/2026-03-18/eng" TargetMode="External"/><Relationship Id="rIduujbbpynijl9bucotawik" Type="http://schemas.openxmlformats.org/officeDocument/2006/relationships/hyperlink" Target="https://eur-lex.europa.eu/eli/reg_impl/2021/447/2026-03-18/eng" TargetMode="External"/><Relationship Id="rIdpp2nxz1swf9tu_onct5eh" Type="http://schemas.openxmlformats.org/officeDocument/2006/relationships/hyperlink" Target="https://eur-lex.europa.eu/eli/dir/2023/959/oj" TargetMode="External"/><Relationship Id="rIdlahjt0w542fplu3g_pgw4" Type="http://schemas.openxmlformats.org/officeDocument/2006/relationships/hyperlink" Target="https://eur-lex.europa.eu/legal-content/en/LSU/?uri=CELEX%3A32023R1805" TargetMode="External"/><Relationship Id="rIdvrlvveydjn358wg3k_xth" Type="http://schemas.openxmlformats.org/officeDocument/2006/relationships/hyperlink" Target="https://eur-lex.europa.eu/eli/reg/2024/1787/oj/eng" TargetMode="External"/><Relationship Id="rIdi0n_9fw3dnn04vez0hulj" Type="http://schemas.openxmlformats.org/officeDocument/2006/relationships/hyperlink" Target="https://eur-lex.europa.eu/eli/reg/2023/2405/oj" TargetMode="External"/><Relationship Id="rIdueiqceeleokvkutec7in4" Type="http://schemas.openxmlformats.org/officeDocument/2006/relationships/hyperlink" Target="https://eur-lex.europa.eu/eli/dir/2018/2001/oj" TargetMode="External"/><Relationship Id="rIdqclbpdjplfuangfvhssss" Type="http://schemas.openxmlformats.org/officeDocument/2006/relationships/hyperlink" Target="https://www.cneeex.com/" TargetMode="External"/><Relationship Id="rIdfxrxtvwyijwubj-ezgz63" Type="http://schemas.openxmlformats.org/officeDocument/2006/relationships/hyperlink" Target="https://www.eex.com/en/market-data/environmental-markets/spot-market" TargetMode="External"/><Relationship Id="rIdke-s822k_m5paljeddth4" Type="http://schemas.openxmlformats.org/officeDocument/2006/relationships/hyperlink" Target="https://www.ngfs.net/ngfs-scenarios-portal/data-resources/" TargetMode="External"/><Relationship Id="rIdpa0xjqnu20b_sgqv8fvu2" Type="http://schemas.openxmlformats.org/officeDocument/2006/relationships/hyperlink" Target="https://afdc.energy.gov/" TargetMode="External"/><Relationship Id="rIdnb0mbow5-kg-f3gkppy9j" Type="http://schemas.openxmlformats.org/officeDocument/2006/relationships/hyperlink" Target="https://www.usgs.gov/publications/mineral-commodity-summaries-2025" TargetMode="External"/><Relationship Id="rIdthlgntarf8l56avkcnr9f" Type="http://schemas.openxmlformats.org/officeDocument/2006/relationships/hyperlink" Target="https://carbonpricingdashboard.worldbank.org/" TargetMode="External"/><Relationship Id="rIdj819sxjtjgnf2mqdc6o1i" Type="http://schemas.openxmlformats.org/officeDocument/2006/relationships/hyperlink" Target="http://www.evcipa.org.cn/" TargetMode="External"/><Relationship Id="rIdate1wwoxmgp5vbjxl_ubg" Type="http://schemas.openxmlformats.org/officeDocument/2006/relationships/hyperlink" Target="https://www.clarksons.net/wfr/" TargetMode="External"/><Relationship Id="rIdwbfafyippmvqisdgl3n17" Type="http://schemas.openxmlformats.org/officeDocument/2006/relationships/hyperlink" Target="https://afi.dnv.com/" TargetMode="External"/><Relationship Id="rIdauqgdmdempy76phxeu9sh" Type="http://schemas.openxmlformats.org/officeDocument/2006/relationships/hyperlink" Target="https://www.weforum.org/communities/first-movers-coalition/" TargetMode="External"/><Relationship Id="rIdq00ulppm7epodxujnyvhb" Type="http://schemas.openxmlformats.org/officeDocument/2006/relationships/hyperlink" Target="https://www.globalmaritimeforum.org/green-corridors" TargetMode="External"/><Relationship Id="rIduu5u5pg13u4vugb4xhuki" Type="http://schemas.openxmlformats.org/officeDocument/2006/relationships/hyperlink" Target="https://co2re.co/FacilityData" TargetMode="External"/><Relationship Id="rIdhgvzsfwonroo8t9h1uldp" Type="http://schemas.openxmlformats.org/officeDocument/2006/relationships/hyperlink" Target="https://gccassociation.org/sustainability-innovation/gnr-gcca-in-numbers/" TargetMode="External"/><Relationship Id="rIdk1zgpbjf5ma5e4bzcgtn3" Type="http://schemas.openxmlformats.org/officeDocument/2006/relationships/hyperlink" Target="https://co2re.co/FacilityData" TargetMode="External"/><Relationship Id="rIdqhoollizwdgy8joeswouu" Type="http://schemas.openxmlformats.org/officeDocument/2006/relationships/hyperlink" Target="https://www.ogmpartnership.com/" TargetMode="External"/><Relationship Id="rIdasqodijqb_iiiwlrlmqyi" Type="http://schemas.openxmlformats.org/officeDocument/2006/relationships/hyperlink" Target="https://www.spglobal.com/marketintelligence/en/sector/metals-mining" TargetMode="External"/><Relationship Id="rIdzbub5-qewjp2gn0iukn6q" Type="http://schemas.openxmlformats.org/officeDocument/2006/relationships/hyperlink" Target="https://about.bnef.com/" TargetMode="External"/><Relationship Id="rIdqxy8fkn0vtbvqjlsf428w" Type="http://schemas.openxmlformats.org/officeDocument/2006/relationships/hyperlink" Target="https://about.bnef.com/" TargetMode="External"/><Relationship Id="rId4s9oumystey6yvwfwz7p8" Type="http://schemas.openxmlformats.org/officeDocument/2006/relationships/hyperlink" Target="https://about.bnef.com/" TargetMode="External"/><Relationship Id="rIdriz8yhetwtjuj85mf8kac" Type="http://schemas.openxmlformats.org/officeDocument/2006/relationships/hyperlink" Target="https://about.bnef.com/" TargetMode="External"/><Relationship Id="rIdl0vwxqpfibztpt4nvpkqs" Type="http://schemas.openxmlformats.org/officeDocument/2006/relationships/hyperlink" Target="https://www.iata.org/en/programs/environment/sustainable-aviation-fuels/" TargetMode="External"/><Relationship Id="rIdabqkrg0vhlk56yk_j7zii" Type="http://schemas.openxmlformats.org/officeDocument/2006/relationships/hyperlink" Target="https://www.iata.org/en/iata-repository/publications/economic-reports/sustainable-aviation-fuel-fact-sheet/" TargetMode="External"/><Relationship Id="rIdbrbbezz1lm5kjnorxxdad" Type="http://schemas.openxmlformats.org/officeDocument/2006/relationships/hyperlink" Target="https://theicct.org/publications/" TargetMode="External"/><Relationship Id="rId8aww-bq_-c4fyrv2m1qmn" Type="http://schemas.openxmlformats.org/officeDocument/2006/relationships/hyperlink" Target="https://www.iea.org/reports/world-energy-outlook-2024" TargetMode="External"/><Relationship Id="rIdlfpnswaubtjvl7f0qs3ii" Type="http://schemas.openxmlformats.org/officeDocument/2006/relationships/hyperlink" Target="https://www.iea.org/energy-system/industry/cement" TargetMode="External"/><Relationship Id="rIdvmoohhoajspud3ohc-u_r" Type="http://schemas.openxmlformats.org/officeDocument/2006/relationships/hyperlink" Target="https://www.iea.org/reports/global-critical-minerals-outlook-2024" TargetMode="External"/><Relationship Id="rIdupycaccxqrekiuzsohw00" Type="http://schemas.openxmlformats.org/officeDocument/2006/relationships/hyperlink" Target="https://www.iea.org/reports/global-critical-minerals-outlook-2024" TargetMode="External"/><Relationship Id="rIdnlep5vuiucksnrzr7vixq" Type="http://schemas.openxmlformats.org/officeDocument/2006/relationships/hyperlink" Target="https://www.iea.org/energy-system/electricity/grid-scale-storage" TargetMode="External"/><Relationship Id="rIdlmv0bvahvvg5tv-ep-y5_" Type="http://schemas.openxmlformats.org/officeDocument/2006/relationships/hyperlink" Target="https://www.iea.org/reports/world-energy-outlook-2024" TargetMode="External"/><Relationship Id="rIdlp-bhy4ryd4a34tsvmdiu" Type="http://schemas.openxmlformats.org/officeDocument/2006/relationships/hyperlink" Target="https://www.iea.org/reports/global-hydrogen-review-2024" TargetMode="External"/><Relationship Id="rId-131dcxn9mb7ullxmgt-0" Type="http://schemas.openxmlformats.org/officeDocument/2006/relationships/hyperlink" Target="https://www.iea.org/reports/global-methane-tracker-2025" TargetMode="External"/><Relationship Id="rIdkmxf9fybe_56_cn1zvy-5" Type="http://schemas.openxmlformats.org/officeDocument/2006/relationships/hyperlink" Target="https://www.iea.org/reports/renewables-2024" TargetMode="External"/><Relationship Id="rIdknmhbjipdcwjjvh6230bn" Type="http://schemas.openxmlformats.org/officeDocument/2006/relationships/hyperlink" Target="https://www.iea.org/reports/world-energy-outlook-2024" TargetMode="External"/><Relationship Id="rIdrc17apki0xnzcjuf9rqys" Type="http://schemas.openxmlformats.org/officeDocument/2006/relationships/hyperlink" Target="https://www.iea.org/reports/world-energy-investment-2025" TargetMode="External"/><Relationship Id="rIdjsamhpxgyj_tknsp1i-gy" Type="http://schemas.openxmlformats.org/officeDocument/2006/relationships/hyperlink" Target="https://www.iea.org/reports/world-energy-outlook-2024" TargetMode="External"/><Relationship Id="rIdfcpvqeue30t0v9awzi5xa" Type="http://schemas.openxmlformats.org/officeDocument/2006/relationships/hyperlink" Target="https://www.irena.org/Publications/2024/Sep/Renewable-Power-Generation-Costs-in-2023" TargetMode="External"/><Relationship Id="rId48aqcjwpmfukpaomgmwwv" Type="http://schemas.openxmlformats.org/officeDocument/2006/relationships/hyperlink" Target="https://www.lazard.com/research-insights/levelized-cost-of-energyplus/" TargetMode="External"/><Relationship Id="rId5oplgxopvwb2dejgcicyj" Type="http://schemas.openxmlformats.org/officeDocument/2006/relationships/hyperlink" Target="https://missionpossiblepartnership.org/publications/" TargetMode="External"/><Relationship Id="rIdr7wjc_nfrp8r5742m7zlj" Type="http://schemas.openxmlformats.org/officeDocument/2006/relationships/hyperlink" Target="https://missionpossiblepartnership.org/publications/" TargetMode="External"/><Relationship Id="rIdg30gz0k_sqd-gyegm6l9x" Type="http://schemas.openxmlformats.org/officeDocument/2006/relationships/hyperlink" Target="https://www.energy-transitions.org/publications/mission-possible/" TargetMode="External"/><Relationship Id="rIdfhq4hs-wyygm5t8i54_l2" Type="http://schemas.openxmlformats.org/officeDocument/2006/relationships/hyperlink" Target="https://www.oecd.org/en/topics/sub-issues/steel-market-developments.html" TargetMode="External"/><Relationship Id="rIdqc0sb18swiums2m-8qm8g" Type="http://schemas.openxmlformats.org/officeDocument/2006/relationships/hyperlink" Target="https://www.there100.org/re100-progress-and-insights-annual-report" TargetMode="External"/><Relationship Id="rIdrwrncbiufum5dzm87txcu" Type="http://schemas.openxmlformats.org/officeDocument/2006/relationships/hyperlink" Target="https://worldsteel.org/data/world-steel-in-figures/" TargetMode="External"/><Relationship Id="rIdgg0uzbq8sgc0redl8l8qs" Type="http://schemas.openxmlformats.org/officeDocument/2006/relationships/hyperlink" Target="https://ww2.arb.ca.gov/our-work/programs/advanced-clean-fleets" TargetMode="External"/><Relationship Id="rIdb5-b4iwc0bbn7yooezjzg" Type="http://schemas.openxmlformats.org/officeDocument/2006/relationships/hyperlink" Target="https://www.mee.gov.cn/" TargetMode="External"/><Relationship Id="rIdmatqg-xbavnuztreosijx" Type="http://schemas.openxmlformats.org/officeDocument/2006/relationships/hyperlink" Target="https://www.mee.gov.cn/" TargetMode="External"/><Relationship Id="rIdryopmdiesdjzoopiybvuv" Type="http://schemas.openxmlformats.org/officeDocument/2006/relationships/hyperlink" Target="https://www.mnr.gov.cn/" TargetMode="External"/><Relationship Id="rIdztusuw4h14eb-80p58uba" Type="http://schemas.openxmlformats.org/officeDocument/2006/relationships/hyperlink" Target="https://www.mee.gov.cn/" TargetMode="External"/><Relationship Id="rIdfwyopeouqz2m7cata7pb1" Type="http://schemas.openxmlformats.org/officeDocument/2006/relationships/hyperlink" Target="https://www.nea.gov.cn/" TargetMode="External"/><Relationship Id="rId9ahxpvsmspafpg9qvyd9k" Type="http://schemas.openxmlformats.org/officeDocument/2006/relationships/hyperlink" Target="https://www.miit.gov.cn/" TargetMode="External"/><Relationship Id="rId6jxmzum3otgg89gyyohqn" Type="http://schemas.openxmlformats.org/officeDocument/2006/relationships/hyperlink" Target="https://green-business.ec.europa.eu/green-public-procurement_en" TargetMode="External"/><Relationship Id="rIdf_ie1o82ooxcch1pv5w30" Type="http://schemas.openxmlformats.org/officeDocument/2006/relationships/hyperlink" Target="https://green-business.ec.europa.eu/green-public-procurement_en" TargetMode="External"/><Relationship Id="rId3jnqmuvual1qabreazvj1" Type="http://schemas.openxmlformats.org/officeDocument/2006/relationships/hyperlink" Target="https://cinea.ec.europa.eu/programmes/innovation-fund_en" TargetMode="External"/><Relationship Id="rIddhc0kzpijg2tvx5egcl2o" Type="http://schemas.openxmlformats.org/officeDocument/2006/relationships/hyperlink" Target="https://www.icao.int/environmental-protection/CORSIA/Pages/state-pairs.aspx" TargetMode="External"/><Relationship Id="rIducdaahg1r_juca7ddnq3h" Type="http://schemas.openxmlformats.org/officeDocument/2006/relationships/hyperlink" Target="https://www.imo.org/en/OurWork/Environment/Pages/2023-IMO-Strategy-on-Reduction-of-GHG-Emissions-from-Ships.aspx" TargetMode="External"/><Relationship Id="rIdzxuhbztqpqpxidxgpaelh" Type="http://schemas.openxmlformats.org/officeDocument/2006/relationships/hyperlink" Target="https://www.imo.org/en/OurWork/Environment/Pages/2023-IMO-Strategy-on-Reduction-of-GHG-Emissions-from-Ships.aspx" TargetMode="External"/><Relationship Id="rIdvrhhjku6m63ysxm5bcc2n" Type="http://schemas.openxmlformats.org/officeDocument/2006/relationships/hyperlink" Target="https://www.iccsafe.org/" TargetMode="External"/><Relationship Id="rIdcg0-4np-u_m2uhb77hgci" Type="http://schemas.openxmlformats.org/officeDocument/2006/relationships/hyperlink" Target="https://www.energy.gov/oced/industrial-demonstrations-program" TargetMode="External"/><Relationship Id="rIdnit1uzz76igozugekvwax" Type="http://schemas.openxmlformats.org/officeDocument/2006/relationships/hyperlink" Target="https://www.epa.gov/regulations-emissions-vehicles-and-engines/final-rule-greenhouse-gas-emissions-standards-heavy" TargetMode="External"/><Relationship Id="rId-v00am4eykolvvsyehqu4" Type="http://schemas.openxmlformats.org/officeDocument/2006/relationships/hyperlink" Target="https://www.federalregister.gov/documents/2025/05/19/2025-08688/congressional-review-act-revocation-of-waste-emissions-charge-for-petroleum-and-natural-gas-systems" TargetMode="External"/><Relationship Id="rId01r_53smm8b7caklosce1" Type="http://schemas.openxmlformats.org/officeDocument/2006/relationships/hyperlink" Target="https://www.sustainability.gov/buyclean/" TargetMode="External"/><Relationship Id="rIdithsukjpdgstqcyjf4plm" Type="http://schemas.openxmlformats.org/officeDocument/2006/relationships/hyperlink" Target="https://www.congress.gov/bill/118th-congress/house-bill/1" TargetMode="External"/><Relationship Id="rIdxkyizcr-ll62fu8ic2vwn" Type="http://schemas.openxmlformats.org/officeDocument/2006/relationships/hyperlink" Target="https://www.energy.gov/mesc/30d-new-clean-vehicle-credit" TargetMode="External"/><Relationship Id="rIdkwudoklsujiupskp0kdnf" Type="http://schemas.openxmlformats.org/officeDocument/2006/relationships/hyperlink" Target="https://www.sustainability.gov/buyclean/" TargetMode="External"/><Relationship Id="rId8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Transition Barrier Assessment</dc:title>
  <dc:creator>Agentic Research Pipeline</dc:creator>
  <dc:description>105-cell sector x region transition-feasibility matrix: 35 criteria x EU/US/China, with 86 verified sources.</dc:description>
  <cp:lastModifiedBy>Un-named</cp:lastModifiedBy>
  <cp:revision>1</cp:revision>
  <dcterms:created xsi:type="dcterms:W3CDTF">2026-09-15T17:56:17.169Z</dcterms:created>
  <dcterms:modified xsi:type="dcterms:W3CDTF">2026-09-15T17:56:17.169Z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