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038E" w14:textId="77777777" w:rsidR="005609A5" w:rsidRDefault="005609A5" w:rsidP="005609A5">
      <w:pPr>
        <w:keepNext/>
      </w:pPr>
      <w:r w:rsidRPr="005609A5">
        <w:drawing>
          <wp:inline distT="0" distB="0" distL="0" distR="0" wp14:anchorId="2A076F18" wp14:editId="28694261">
            <wp:extent cx="5731510" cy="3596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BCE" w14:textId="23603D88" w:rsidR="00D15B40" w:rsidRPr="005609A5" w:rsidRDefault="005609A5" w:rsidP="005609A5">
      <w:pPr>
        <w:pStyle w:val="a3"/>
        <w:rPr>
          <w:lang w:val="ru-RU"/>
        </w:rPr>
      </w:pPr>
      <w:r w:rsidRPr="005609A5">
        <w:rPr>
          <w:lang w:val="ru-RU"/>
        </w:rPr>
        <w:t xml:space="preserve">Рисунок </w:t>
      </w:r>
      <w:r>
        <w:fldChar w:fldCharType="begin"/>
      </w:r>
      <w:r w:rsidRPr="005609A5">
        <w:rPr>
          <w:lang w:val="ru-RU"/>
        </w:rPr>
        <w:instrText xml:space="preserve"> </w:instrText>
      </w:r>
      <w:r>
        <w:instrText>SEQ</w:instrText>
      </w:r>
      <w:r w:rsidRPr="005609A5">
        <w:rPr>
          <w:lang w:val="ru-RU"/>
        </w:rPr>
        <w:instrText xml:space="preserve"> Рисунок \* </w:instrText>
      </w:r>
      <w:r>
        <w:instrText>ARABIC</w:instrText>
      </w:r>
      <w:r w:rsidRPr="005609A5">
        <w:rPr>
          <w:lang w:val="ru-RU"/>
        </w:rPr>
        <w:instrText xml:space="preserve"> </w:instrText>
      </w:r>
      <w:r>
        <w:fldChar w:fldCharType="separate"/>
      </w:r>
      <w:r w:rsidRPr="005609A5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 Пример простой нейронной сети прямого распространения</w:t>
      </w:r>
    </w:p>
    <w:p w14:paraId="533A5C80" w14:textId="68158B5A" w:rsidR="005609A5" w:rsidRDefault="005609A5" w:rsidP="005609A5">
      <w:pPr>
        <w:rPr>
          <w:lang w:val="ru-RU"/>
        </w:rPr>
      </w:pPr>
      <w:r>
        <w:rPr>
          <w:lang w:val="ru-RU"/>
        </w:rPr>
        <w:t>Обозначение нейронов</w:t>
      </w:r>
      <w:r w:rsidRPr="005609A5">
        <w:rPr>
          <w:lang w:val="ru-RU"/>
        </w:rPr>
        <w:t xml:space="preserve">, </w:t>
      </w:r>
      <w:r>
        <w:rPr>
          <w:lang w:val="ru-RU"/>
        </w:rPr>
        <w:t>входов и выходов:</w:t>
      </w:r>
    </w:p>
    <w:p w14:paraId="40300A56" w14:textId="7469A01F" w:rsidR="005609A5" w:rsidRDefault="005609A5" w:rsidP="005609A5">
      <w:pPr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  <w:lang w:val="ru-RU"/>
        </w:rPr>
        <w:t>:</w:t>
      </w:r>
      <w:r w:rsidRPr="005609A5">
        <w:rPr>
          <w:rFonts w:eastAsiaTheme="minorEastAsia"/>
          <w:lang w:val="ru-RU"/>
        </w:rPr>
        <w:t xml:space="preserve"> </w:t>
      </w:r>
      <w:proofErr w:type="spellStart"/>
      <w:r w:rsidRPr="005609A5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  <w:lang w:val="ru-RU"/>
        </w:rPr>
        <w:t xml:space="preserve"> – номер </w:t>
      </w:r>
      <w:r w:rsidRPr="005609A5">
        <w:rPr>
          <w:rFonts w:eastAsiaTheme="minorEastAsia"/>
          <w:lang w:val="ru-RU"/>
        </w:rPr>
        <w:t>нейрон</w:t>
      </w:r>
      <w:r>
        <w:rPr>
          <w:rFonts w:eastAsiaTheme="minorEastAsia"/>
          <w:lang w:val="ru-RU"/>
        </w:rPr>
        <w:t xml:space="preserve">а (входа или выхода);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  <w:i/>
          <w:iCs/>
          <w:lang w:val="ru-RU"/>
        </w:rPr>
        <w:t xml:space="preserve"> –</w:t>
      </w:r>
      <w:r>
        <w:rPr>
          <w:rFonts w:eastAsiaTheme="minorEastAsia"/>
          <w:lang w:val="ru-RU"/>
        </w:rPr>
        <w:t xml:space="preserve"> номер слоя</w:t>
      </w:r>
    </w:p>
    <w:p w14:paraId="49D63353" w14:textId="27A26940" w:rsidR="005609A5" w:rsidRDefault="005609A5" w:rsidP="005609A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Обозначение весовых коэффициентов</w:t>
      </w:r>
      <w:r w:rsidR="00021E48">
        <w:rPr>
          <w:rStyle w:val="ac"/>
          <w:rFonts w:eastAsiaTheme="minorEastAsia"/>
          <w:lang w:val="ru-RU"/>
        </w:rPr>
        <w:footnoteReference w:id="1"/>
      </w:r>
      <w:r w:rsidR="00021E48">
        <w:rPr>
          <w:rStyle w:val="ac"/>
          <w:rFonts w:eastAsiaTheme="minorEastAsia"/>
          <w:lang w:val="ru-RU"/>
        </w:rPr>
        <w:footnoteReference w:id="2"/>
      </w:r>
      <w:r>
        <w:rPr>
          <w:rFonts w:eastAsiaTheme="minorEastAsia"/>
          <w:lang w:val="ru-RU"/>
        </w:rPr>
        <w:t>:</w:t>
      </w:r>
    </w:p>
    <w:p w14:paraId="1A1AF95E" w14:textId="615F3047" w:rsidR="005609A5" w:rsidRPr="00021E48" w:rsidRDefault="005609A5" w:rsidP="005609A5">
      <w:pPr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</m:oMath>
      <w:r w:rsidRPr="005609A5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w:proofErr w:type="spellStart"/>
      <w:r w:rsidRPr="005609A5">
        <w:rPr>
          <w:rFonts w:eastAsiaTheme="minorEastAsia"/>
          <w:i/>
          <w:iCs/>
        </w:rPr>
        <w:t>i</w:t>
      </w:r>
      <w:proofErr w:type="spellEnd"/>
      <w:r w:rsidRPr="00021E4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номер входа</w:t>
      </w:r>
      <w:r w:rsidR="00021E48" w:rsidRPr="00021E48">
        <w:rPr>
          <w:rFonts w:eastAsiaTheme="minorEastAsia"/>
          <w:lang w:val="ru-RU"/>
        </w:rPr>
        <w:t>;</w:t>
      </w:r>
      <w:r w:rsidR="00021E48" w:rsidRPr="00021E48">
        <w:rPr>
          <w:rFonts w:eastAsiaTheme="minorEastAsia"/>
          <w:i/>
          <w:iCs/>
          <w:lang w:val="ru-RU"/>
        </w:rPr>
        <w:t xml:space="preserve"> </w:t>
      </w:r>
      <w:r w:rsidR="00021E48" w:rsidRPr="00021E48">
        <w:rPr>
          <w:rFonts w:eastAsiaTheme="minorEastAsia"/>
          <w:i/>
          <w:iCs/>
        </w:rPr>
        <w:t>j</w:t>
      </w:r>
      <w:r w:rsidR="00021E48" w:rsidRPr="00021E48">
        <w:rPr>
          <w:rFonts w:eastAsiaTheme="minorEastAsia"/>
          <w:lang w:val="ru-RU"/>
        </w:rPr>
        <w:t xml:space="preserve"> – </w:t>
      </w:r>
      <w:r w:rsidR="00021E48">
        <w:rPr>
          <w:rFonts w:eastAsiaTheme="minorEastAsia"/>
          <w:lang w:val="ru-RU"/>
        </w:rPr>
        <w:t xml:space="preserve">номер нейрона; </w:t>
      </w:r>
      <w:r w:rsidR="00021E48" w:rsidRPr="00021E48">
        <w:rPr>
          <w:rFonts w:eastAsiaTheme="minorEastAsia"/>
          <w:i/>
          <w:iCs/>
        </w:rPr>
        <w:t>k</w:t>
      </w:r>
      <w:r w:rsidR="00021E48">
        <w:rPr>
          <w:rFonts w:eastAsiaTheme="minorEastAsia"/>
          <w:lang w:val="ru-RU"/>
        </w:rPr>
        <w:t xml:space="preserve"> – номер слоя</w:t>
      </w:r>
      <w:r w:rsidRPr="00021E48">
        <w:rPr>
          <w:rFonts w:eastAsiaTheme="minorEastAsia"/>
          <w:lang w:val="ru-RU"/>
        </w:rPr>
        <w:t xml:space="preserve"> </w:t>
      </w:r>
    </w:p>
    <w:p w14:paraId="332A98E7" w14:textId="500D8345" w:rsidR="005609A5" w:rsidRDefault="005609A5">
      <w:pPr>
        <w:rPr>
          <w:lang w:val="ru-RU"/>
        </w:rPr>
      </w:pPr>
      <w:r w:rsidRPr="005609A5">
        <w:rPr>
          <w:rFonts w:eastAsiaTheme="minorEastAsia"/>
          <w:lang w:val="ru-RU"/>
        </w:rPr>
        <w:t xml:space="preserve"> </w:t>
      </w:r>
      <w:r>
        <w:rPr>
          <w:lang w:val="ru-RU"/>
        </w:rPr>
        <w:t>Выходное значение 1</w:t>
      </w:r>
      <w:r>
        <w:rPr>
          <w:vertAlign w:val="superscript"/>
          <w:lang w:val="ru-RU"/>
        </w:rPr>
        <w:t>го</w:t>
      </w:r>
      <w:r>
        <w:rPr>
          <w:lang w:val="ru-RU"/>
        </w:rPr>
        <w:t xml:space="preserve"> нейрона 1</w:t>
      </w:r>
      <w:r>
        <w:rPr>
          <w:vertAlign w:val="superscript"/>
          <w:lang w:val="ru-RU"/>
        </w:rPr>
        <w:t>го</w:t>
      </w:r>
      <w:r>
        <w:rPr>
          <w:lang w:val="ru-RU"/>
        </w:rPr>
        <w:t xml:space="preserve"> слоя может быть посчитано </w:t>
      </w:r>
    </w:p>
    <w:p w14:paraId="1B47B523" w14:textId="1868092D" w:rsidR="005609A5" w:rsidRPr="00BE49F7" w:rsidRDefault="00021E4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Ou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DF633F" w14:textId="23E2E740" w:rsidR="00BE49F7" w:rsidRDefault="00BE49F7" w:rsidP="00BE49F7">
      <w:pPr>
        <w:ind w:firstLine="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/>
            <w:lang w:val="ru-RU"/>
          </w:rPr>
          <m:t>(x)</m:t>
        </m:r>
      </m:oMath>
      <w:r w:rsidRPr="00BE49F7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>функция активации. Функция активации может быть выбрана различной для каждого слоя; если на последнем слое нам необходимо лишь построить суперпозицию нейронов предыдущего слоя, то в качестве функции активации необходимо взять линейную функцию, тогда</w:t>
      </w:r>
    </w:p>
    <w:p w14:paraId="7B1160A2" w14:textId="77777777" w:rsidR="00BE49F7" w:rsidRDefault="00BE49F7" w:rsidP="00BE49F7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ru-RU"/>
            </w:rPr>
            <m:t>Ou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D94ACBC" w14:textId="1E4EE422" w:rsidR="00BE49F7" w:rsidRDefault="00BE49F7" w:rsidP="00BE49F7">
      <w:pPr>
        <w:rPr>
          <w:lang w:val="ru-RU"/>
        </w:rPr>
      </w:pPr>
      <w:r>
        <w:rPr>
          <w:lang w:val="ru-RU"/>
        </w:rPr>
        <w:t>Для всего первого слоя вычисление значение выходов может быть записано в матричном виде</w:t>
      </w:r>
      <w:r w:rsidRPr="00BE49F7">
        <w:rPr>
          <w:lang w:val="ru-RU"/>
        </w:rPr>
        <w:t>:</w:t>
      </w:r>
    </w:p>
    <w:p w14:paraId="5392BE66" w14:textId="08FA40FE" w:rsidR="00BE49F7" w:rsidRPr="00307C80" w:rsidRDefault="00307C80" w:rsidP="00BE49F7">
      <w:pPr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345BDD" w14:textId="51930781" w:rsidR="00307C80" w:rsidRDefault="00307C80" w:rsidP="00307C8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или</w:t>
      </w:r>
    </w:p>
    <w:p w14:paraId="1093C41F" w14:textId="5C149CC3" w:rsidR="00307C80" w:rsidRPr="00307C80" w:rsidRDefault="00307C80" w:rsidP="00307C80">
      <w:pPr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=Ou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p>
          </m:sSubSup>
        </m:oMath>
      </m:oMathPara>
    </w:p>
    <w:sectPr w:rsidR="00307C80" w:rsidRPr="0030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5C721" w14:textId="77777777" w:rsidR="00021E48" w:rsidRDefault="00021E48" w:rsidP="00021E48">
      <w:pPr>
        <w:spacing w:after="0" w:line="240" w:lineRule="auto"/>
      </w:pPr>
      <w:r>
        <w:separator/>
      </w:r>
    </w:p>
  </w:endnote>
  <w:endnote w:type="continuationSeparator" w:id="0">
    <w:p w14:paraId="4FB80B32" w14:textId="77777777" w:rsidR="00021E48" w:rsidRDefault="00021E48" w:rsidP="0002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4762F" w14:textId="77777777" w:rsidR="00021E48" w:rsidRDefault="00021E48" w:rsidP="00021E48">
      <w:pPr>
        <w:spacing w:after="0" w:line="240" w:lineRule="auto"/>
      </w:pPr>
      <w:r>
        <w:separator/>
      </w:r>
    </w:p>
  </w:footnote>
  <w:footnote w:type="continuationSeparator" w:id="0">
    <w:p w14:paraId="309467D3" w14:textId="77777777" w:rsidR="00021E48" w:rsidRDefault="00021E48" w:rsidP="00021E48">
      <w:pPr>
        <w:spacing w:after="0" w:line="240" w:lineRule="auto"/>
      </w:pPr>
      <w:r>
        <w:continuationSeparator/>
      </w:r>
    </w:p>
  </w:footnote>
  <w:footnote w:id="1">
    <w:p w14:paraId="7A5DB7E1" w14:textId="521C6D85" w:rsidR="00021E48" w:rsidRPr="00021E48" w:rsidRDefault="00021E48">
      <w:pPr>
        <w:pStyle w:val="aa"/>
        <w:rPr>
          <w:lang w:val="ru-RU"/>
        </w:rPr>
      </w:pPr>
      <w:r>
        <w:rPr>
          <w:rStyle w:val="ac"/>
        </w:rPr>
        <w:footnoteRef/>
      </w:r>
      <w:r w:rsidRPr="00021E48">
        <w:rPr>
          <w:lang w:val="ru-RU"/>
        </w:rPr>
        <w:t xml:space="preserve"> </w:t>
      </w:r>
      <w:r>
        <w:rPr>
          <w:lang w:val="ru-RU"/>
        </w:rPr>
        <w:t>Видимо, правильно говорить о входах и выходах слоя, весовые коэффициент ы в таком случае существуют как-бы между слоями.</w:t>
      </w:r>
      <w:r>
        <w:rPr>
          <w:lang w:val="ru-RU"/>
        </w:rPr>
        <w:br/>
        <w:t>Выход предыдущего слоя, перемноженный на весовой коэффициент, подается на вход следующего слоя</w:t>
      </w:r>
    </w:p>
  </w:footnote>
  <w:footnote w:id="2">
    <w:p w14:paraId="1CAC7F3D" w14:textId="5CDA7161" w:rsidR="00021E48" w:rsidRPr="00021E48" w:rsidRDefault="00021E48">
      <w:pPr>
        <w:pStyle w:val="aa"/>
        <w:rPr>
          <w:lang w:val="ru-RU"/>
        </w:rPr>
      </w:pPr>
      <w:r>
        <w:rPr>
          <w:rStyle w:val="ac"/>
        </w:rPr>
        <w:footnoteRef/>
      </w:r>
      <w:r w:rsidRPr="00021E48">
        <w:rPr>
          <w:lang w:val="ru-RU"/>
        </w:rPr>
        <w:t xml:space="preserve"> </w:t>
      </w:r>
      <w:r>
        <w:rPr>
          <w:lang w:val="ru-RU"/>
        </w:rPr>
        <w:t xml:space="preserve">Если сеть не прямого распространение, и в ней присутствуют связи не только между соседними слоями, у весового коэффициента следует указывать два верхних индекса: номер слоя, с которого взят выход и </w:t>
      </w:r>
      <w:proofErr w:type="gramStart"/>
      <w:r>
        <w:rPr>
          <w:lang w:val="ru-RU"/>
        </w:rPr>
        <w:t>номер слоя</w:t>
      </w:r>
      <w:proofErr w:type="gramEnd"/>
      <w:r>
        <w:rPr>
          <w:lang w:val="ru-RU"/>
        </w:rPr>
        <w:t xml:space="preserve"> которому значение подано на вход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A5"/>
    <w:rsid w:val="00021E48"/>
    <w:rsid w:val="00307C80"/>
    <w:rsid w:val="005609A5"/>
    <w:rsid w:val="007C41D5"/>
    <w:rsid w:val="00BE49F7"/>
    <w:rsid w:val="00D15B40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8BCB"/>
  <w15:chartTrackingRefBased/>
  <w15:docId w15:val="{BB15FAF9-BA77-429C-AD88-BC21C8E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48"/>
    <w:pPr>
      <w:spacing w:after="120" w:line="360" w:lineRule="auto"/>
      <w:ind w:firstLine="709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9A5"/>
    <w:pPr>
      <w:spacing w:after="200" w:line="240" w:lineRule="auto"/>
    </w:pPr>
    <w:rPr>
      <w:iCs/>
      <w:szCs w:val="18"/>
    </w:rPr>
  </w:style>
  <w:style w:type="character" w:styleId="a4">
    <w:name w:val="Placeholder Text"/>
    <w:basedOn w:val="a0"/>
    <w:uiPriority w:val="99"/>
    <w:semiHidden/>
    <w:rsid w:val="005609A5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21E4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1E4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21E48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1E4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21E48"/>
    <w:rPr>
      <w:rFonts w:ascii="Times New Roman" w:hAnsi="Times New Roman"/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21E4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21E48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21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C6EC-9B78-4D63-A992-41AA0AC6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kuts</dc:creator>
  <cp:keywords/>
  <dc:description/>
  <cp:lastModifiedBy>michael kuts</cp:lastModifiedBy>
  <cp:revision>1</cp:revision>
  <dcterms:created xsi:type="dcterms:W3CDTF">2021-01-24T11:12:00Z</dcterms:created>
  <dcterms:modified xsi:type="dcterms:W3CDTF">2021-01-24T11:46:00Z</dcterms:modified>
</cp:coreProperties>
</file>