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KutumbLink Platform Test Guide</w:t>
      </w:r>
    </w:p>
    <w:p>
      <w:r>
        <w:rPr>
          <w:i/>
        </w:rPr>
        <w:t>Website, fundraising workflows and CSV fixtures | Revised 9 October 2026</w:t>
      </w:r>
    </w:p>
    <w:p>
      <w:r>
        <w:t>Use this guide to check the current KutumbLink package in a disposable test database and payment-provider sandbox. The public home route is the event marketplace; the old Kutumb homepage and its community photo are not part of the app. Fundraising overview tiles lead to clearly marked demonstration pages, while live records and payments require an organisation workspace and configured providers.</w:t>
      </w:r>
    </w:p>
    <w:p>
      <w:pPr>
        <w:pStyle w:val="Heading1"/>
      </w:pPr>
      <w:r>
        <w:t>Before testing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trPr>
        <w:tc>
          <w:tcPr>
            <w:tcW w:type="dxa" w:w="605"/>
            <w:vAlign w:val="center"/>
            <w:shd w:fill="30275C"/>
          </w:tcPr>
          <w:p>
            <w:pPr>
              <w:spacing w:after="0"/>
            </w:pPr>
            <w:r>
              <w:rPr>
                <w:rFonts w:ascii="Calibri" w:hAnsi="Calibri"/>
                <w:b/>
                <w:color w:val="FFFFFF"/>
                <w:sz w:val="15"/>
              </w:rPr>
              <w:t>Step</w:t>
            </w:r>
          </w:p>
        </w:tc>
        <w:tc>
          <w:tcPr>
            <w:tcW w:type="dxa" w:w="5789"/>
            <w:vAlign w:val="center"/>
            <w:shd w:fill="30275C"/>
          </w:tcPr>
          <w:p>
            <w:pPr>
              <w:spacing w:after="0"/>
            </w:pPr>
            <w:r>
              <w:rPr>
                <w:rFonts w:ascii="Calibri" w:hAnsi="Calibri"/>
                <w:b/>
                <w:color w:val="FFFFFF"/>
                <w:sz w:val="15"/>
              </w:rPr>
              <w:t>Action</w:t>
            </w:r>
          </w:p>
        </w:tc>
        <w:tc>
          <w:tcPr>
            <w:tcW w:type="dxa" w:w="3946"/>
            <w:vAlign w:val="center"/>
            <w:shd w:fill="30275C"/>
          </w:tcPr>
          <w:p>
            <w:pPr>
              <w:spacing w:after="0"/>
            </w:pPr>
            <w:r>
              <w:rPr>
                <w:rFonts w:ascii="Calibri" w:hAnsi="Calibri"/>
                <w:b/>
                <w:color w:val="FFFFFF"/>
                <w:sz w:val="15"/>
              </w:rPr>
              <w:t>Expected result</w:t>
            </w:r>
          </w:p>
        </w:tc>
      </w:tr>
      <w:tr>
        <w:tc>
          <w:tcPr>
            <w:tcW w:type="dxa" w:w="605"/>
            <w:vAlign w:val="top"/>
          </w:tcPr>
          <w:p>
            <w:pPr>
              <w:spacing w:after="20" w:line="240" w:lineRule="auto"/>
            </w:pPr>
            <w:r>
              <w:rPr>
                <w:rFonts w:ascii="Calibri" w:hAnsi="Calibri"/>
                <w:sz w:val="15"/>
              </w:rPr>
              <w:t>1</w:t>
            </w:r>
          </w:p>
        </w:tc>
        <w:tc>
          <w:tcPr>
            <w:tcW w:type="dxa" w:w="5789"/>
            <w:vAlign w:val="top"/>
          </w:tcPr>
          <w:p>
            <w:pPr>
              <w:spacing w:after="20" w:line="240" w:lineRule="auto"/>
            </w:pPr>
            <w:r>
              <w:rPr>
                <w:rFonts w:ascii="Calibri" w:hAnsi="Calibri"/>
                <w:sz w:val="15"/>
              </w:rPr>
              <w:t>Use a fresh, isolated PostgreSQL test database and back it up. Configure `.env`, then launch with `app.cmd` or the documented development commands.</w:t>
            </w:r>
          </w:p>
        </w:tc>
        <w:tc>
          <w:tcPr>
            <w:tcW w:type="dxa" w:w="3946"/>
            <w:vAlign w:val="top"/>
          </w:tcPr>
          <w:p>
            <w:pPr>
              <w:spacing w:after="20" w:line="240" w:lineRule="auto"/>
            </w:pPr>
            <w:r>
              <w:rPr>
                <w:rFonts w:ascii="Calibri" w:hAnsi="Calibri"/>
                <w:sz w:val="15"/>
              </w:rPr>
              <w:t>Migrations complete and the site opens at the local address.</w:t>
            </w:r>
          </w:p>
        </w:tc>
      </w:tr>
      <w:tr>
        <w:tc>
          <w:tcPr>
            <w:tcW w:type="dxa" w:w="605"/>
            <w:vAlign w:val="top"/>
          </w:tcPr>
          <w:p>
            <w:pPr>
              <w:spacing w:after="20" w:line="240" w:lineRule="auto"/>
            </w:pPr>
            <w:r>
              <w:rPr>
                <w:rFonts w:ascii="Calibri" w:hAnsi="Calibri"/>
                <w:sz w:val="15"/>
              </w:rPr>
              <w:t>2</w:t>
            </w:r>
          </w:p>
        </w:tc>
        <w:tc>
          <w:tcPr>
            <w:tcW w:type="dxa" w:w="5789"/>
            <w:vAlign w:val="top"/>
          </w:tcPr>
          <w:p>
            <w:pPr>
              <w:spacing w:after="20" w:line="240" w:lineRule="auto"/>
            </w:pPr>
            <w:r>
              <w:rPr>
                <w:rFonts w:ascii="Calibri" w:hAnsi="Calibri"/>
                <w:sz w:val="15"/>
              </w:rPr>
              <w:t>Sign in with a test administrator. Create a separate fictional organisation for tests and record its generated database ID.</w:t>
            </w:r>
          </w:p>
        </w:tc>
        <w:tc>
          <w:tcPr>
            <w:tcW w:type="dxa" w:w="3946"/>
            <w:vAlign w:val="top"/>
          </w:tcPr>
          <w:p>
            <w:pPr>
              <w:spacing w:after="20" w:line="240" w:lineRule="auto"/>
            </w:pPr>
            <w:r>
              <w:rPr>
                <w:rFonts w:ascii="Calibri" w:hAnsi="Calibri"/>
                <w:sz w:val="15"/>
              </w:rPr>
              <w:t>The test organisation is separate from any real charity or production records.</w:t>
            </w:r>
          </w:p>
        </w:tc>
      </w:tr>
      <w:tr>
        <w:tc>
          <w:tcPr>
            <w:tcW w:type="dxa" w:w="605"/>
            <w:vAlign w:val="top"/>
          </w:tcPr>
          <w:p>
            <w:pPr>
              <w:spacing w:after="20" w:line="240" w:lineRule="auto"/>
            </w:pPr>
            <w:r>
              <w:rPr>
                <w:rFonts w:ascii="Calibri" w:hAnsi="Calibri"/>
                <w:sz w:val="15"/>
              </w:rPr>
              <w:t>3</w:t>
            </w:r>
          </w:p>
        </w:tc>
        <w:tc>
          <w:tcPr>
            <w:tcW w:type="dxa" w:w="5789"/>
            <w:vAlign w:val="top"/>
          </w:tcPr>
          <w:p>
            <w:pPr>
              <w:spacing w:after="20" w:line="240" w:lineRule="auto"/>
            </w:pPr>
            <w:r>
              <w:rPr>
                <w:rFonts w:ascii="Calibri" w:hAnsi="Calibri"/>
                <w:sz w:val="15"/>
              </w:rPr>
              <w:t>Use Stripe or another supported payment provider in sandbox/test mode. Configure test webhooks and test email delivery only.</w:t>
            </w:r>
          </w:p>
        </w:tc>
        <w:tc>
          <w:tcPr>
            <w:tcW w:type="dxa" w:w="3946"/>
            <w:vAlign w:val="top"/>
          </w:tcPr>
          <w:p>
            <w:pPr>
              <w:spacing w:after="20" w:line="240" w:lineRule="auto"/>
            </w:pPr>
            <w:r>
              <w:rPr>
                <w:rFonts w:ascii="Calibri" w:hAnsi="Calibri"/>
                <w:sz w:val="15"/>
              </w:rPr>
              <w:t>No live charge, subscription, bid checkout or supporter message is sent.</w:t>
            </w:r>
          </w:p>
        </w:tc>
      </w:tr>
      <w:tr>
        <w:tc>
          <w:tcPr>
            <w:tcW w:type="dxa" w:w="605"/>
            <w:vAlign w:val="top"/>
          </w:tcPr>
          <w:p>
            <w:pPr>
              <w:spacing w:after="20" w:line="240" w:lineRule="auto"/>
            </w:pPr>
            <w:r>
              <w:rPr>
                <w:rFonts w:ascii="Calibri" w:hAnsi="Calibri"/>
                <w:sz w:val="15"/>
              </w:rPr>
              <w:t>4</w:t>
            </w:r>
          </w:p>
        </w:tc>
        <w:tc>
          <w:tcPr>
            <w:tcW w:type="dxa" w:w="5789"/>
            <w:vAlign w:val="top"/>
          </w:tcPr>
          <w:p>
            <w:pPr>
              <w:spacing w:after="20" w:line="240" w:lineRule="auto"/>
            </w:pPr>
            <w:r>
              <w:rPr>
                <w:rFonts w:ascii="Calibri" w:hAnsi="Calibri"/>
                <w:sz w:val="15"/>
              </w:rPr>
              <w:t>Use the CSV files in the companion test-data ZIP only in the disposable database. Replace sample organisation, event, campaign and segment IDs with IDs from that database.</w:t>
            </w:r>
          </w:p>
        </w:tc>
        <w:tc>
          <w:tcPr>
            <w:tcW w:type="dxa" w:w="3946"/>
            <w:vAlign w:val="top"/>
          </w:tcPr>
          <w:p>
            <w:pPr>
              <w:spacing w:after="20" w:line="240" w:lineRule="auto"/>
            </w:pPr>
            <w:r>
              <w:rPr>
                <w:rFonts w:ascii="Calibri" w:hAnsi="Calibri"/>
                <w:sz w:val="15"/>
              </w:rPr>
              <w:t>Rows connect to the test organisation and its actual parent records.</w:t>
            </w:r>
          </w:p>
        </w:tc>
      </w:tr>
    </w:tbl>
    <w:p>
      <w:pPr>
        <w:spacing w:after="20"/>
      </w:pPr>
    </w:p>
    <w:p>
      <w:pPr>
        <w:pStyle w:val="Heading1"/>
      </w:pPr>
      <w:r>
        <w:t>Website and navigation checks</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trPr>
        <w:tc>
          <w:tcPr>
            <w:tcW w:type="dxa" w:w="835"/>
            <w:vAlign w:val="center"/>
            <w:shd w:fill="30275C"/>
          </w:tcPr>
          <w:p>
            <w:pPr>
              <w:spacing w:after="0"/>
            </w:pPr>
            <w:r>
              <w:rPr>
                <w:rFonts w:ascii="Calibri" w:hAnsi="Calibri"/>
                <w:b/>
                <w:color w:val="FFFFFF"/>
                <w:sz w:val="15"/>
              </w:rPr>
              <w:t>ID</w:t>
            </w:r>
          </w:p>
        </w:tc>
        <w:tc>
          <w:tcPr>
            <w:tcW w:type="dxa" w:w="1958"/>
            <w:vAlign w:val="center"/>
            <w:shd w:fill="30275C"/>
          </w:tcPr>
          <w:p>
            <w:pPr>
              <w:spacing w:after="0"/>
            </w:pPr>
            <w:r>
              <w:rPr>
                <w:rFonts w:ascii="Calibri" w:hAnsi="Calibri"/>
                <w:b/>
                <w:color w:val="FFFFFF"/>
                <w:sz w:val="15"/>
              </w:rPr>
              <w:t>Check</w:t>
            </w:r>
          </w:p>
        </w:tc>
        <w:tc>
          <w:tcPr>
            <w:tcW w:type="dxa" w:w="7546"/>
            <w:vAlign w:val="center"/>
            <w:shd w:fill="30275C"/>
          </w:tcPr>
          <w:p>
            <w:pPr>
              <w:spacing w:after="0"/>
            </w:pPr>
            <w:r>
              <w:rPr>
                <w:rFonts w:ascii="Calibri" w:hAnsi="Calibri"/>
                <w:b/>
                <w:color w:val="FFFFFF"/>
                <w:sz w:val="15"/>
              </w:rPr>
              <w:t>Steps and expected result</w:t>
            </w:r>
          </w:p>
        </w:tc>
      </w:tr>
      <w:tr>
        <w:tc>
          <w:tcPr>
            <w:tcW w:type="dxa" w:w="835"/>
            <w:vAlign w:val="top"/>
          </w:tcPr>
          <w:p>
            <w:pPr>
              <w:spacing w:after="20" w:line="240" w:lineRule="auto"/>
            </w:pPr>
            <w:r>
              <w:rPr>
                <w:rFonts w:ascii="Calibri" w:hAnsi="Calibri"/>
                <w:sz w:val="15"/>
              </w:rPr>
              <w:t>WEB-01</w:t>
            </w:r>
          </w:p>
        </w:tc>
        <w:tc>
          <w:tcPr>
            <w:tcW w:type="dxa" w:w="1958"/>
            <w:vAlign w:val="top"/>
          </w:tcPr>
          <w:p>
            <w:pPr>
              <w:spacing w:after="20" w:line="240" w:lineRule="auto"/>
            </w:pPr>
            <w:r>
              <w:rPr>
                <w:rFonts w:ascii="Calibri" w:hAnsi="Calibri"/>
                <w:sz w:val="15"/>
              </w:rPr>
              <w:t>Home page</w:t>
            </w:r>
          </w:p>
        </w:tc>
        <w:tc>
          <w:tcPr>
            <w:tcW w:type="dxa" w:w="7546"/>
            <w:vAlign w:val="top"/>
          </w:tcPr>
          <w:p>
            <w:pPr>
              <w:spacing w:after="20" w:line="240" w:lineRule="auto"/>
            </w:pPr>
            <w:r>
              <w:rPr>
                <w:rFonts w:ascii="Calibri" w:hAnsi="Calibri"/>
                <w:sz w:val="15"/>
              </w:rPr>
              <w:t>Open `/`. Confirm the event marketplace loads and the KutumbLink identity is visible. Confirm the old Kutumb homepage/photo is absent.</w:t>
            </w:r>
          </w:p>
        </w:tc>
      </w:tr>
      <w:tr>
        <w:tc>
          <w:tcPr>
            <w:tcW w:type="dxa" w:w="835"/>
            <w:vAlign w:val="top"/>
          </w:tcPr>
          <w:p>
            <w:pPr>
              <w:spacing w:after="20" w:line="240" w:lineRule="auto"/>
            </w:pPr>
            <w:r>
              <w:rPr>
                <w:rFonts w:ascii="Calibri" w:hAnsi="Calibri"/>
                <w:sz w:val="15"/>
              </w:rPr>
              <w:t>WEB-02</w:t>
            </w:r>
          </w:p>
        </w:tc>
        <w:tc>
          <w:tcPr>
            <w:tcW w:type="dxa" w:w="1958"/>
            <w:vAlign w:val="top"/>
          </w:tcPr>
          <w:p>
            <w:pPr>
              <w:spacing w:after="20" w:line="240" w:lineRule="auto"/>
            </w:pPr>
            <w:r>
              <w:rPr>
                <w:rFonts w:ascii="Calibri" w:hAnsi="Calibri"/>
                <w:sz w:val="15"/>
              </w:rPr>
              <w:t>Charities, causes and events</w:t>
            </w:r>
          </w:p>
        </w:tc>
        <w:tc>
          <w:tcPr>
            <w:tcW w:type="dxa" w:w="7546"/>
            <w:vAlign w:val="top"/>
          </w:tcPr>
          <w:p>
            <w:pPr>
              <w:spacing w:after="20" w:line="240" w:lineRule="auto"/>
            </w:pPr>
            <w:r>
              <w:rPr>
                <w:rFonts w:ascii="Calibri" w:hAnsi="Calibri"/>
                <w:sz w:val="15"/>
              </w:rPr>
              <w:t>Open `/charities` and `/events`. Apply a cause filter and verify the result list responds. Open a charity and event detail page.</w:t>
            </w:r>
          </w:p>
        </w:tc>
      </w:tr>
      <w:tr>
        <w:tc>
          <w:tcPr>
            <w:tcW w:type="dxa" w:w="835"/>
            <w:vAlign w:val="top"/>
          </w:tcPr>
          <w:p>
            <w:pPr>
              <w:spacing w:after="20" w:line="240" w:lineRule="auto"/>
            </w:pPr>
            <w:r>
              <w:rPr>
                <w:rFonts w:ascii="Calibri" w:hAnsi="Calibri"/>
                <w:sz w:val="15"/>
              </w:rPr>
              <w:t>WEB-03</w:t>
            </w:r>
          </w:p>
        </w:tc>
        <w:tc>
          <w:tcPr>
            <w:tcW w:type="dxa" w:w="1958"/>
            <w:vAlign w:val="top"/>
          </w:tcPr>
          <w:p>
            <w:pPr>
              <w:spacing w:after="20" w:line="240" w:lineRule="auto"/>
            </w:pPr>
            <w:r>
              <w:rPr>
                <w:rFonts w:ascii="Calibri" w:hAnsi="Calibri"/>
                <w:sz w:val="15"/>
              </w:rPr>
              <w:t>A$0 pricing</w:t>
            </w:r>
          </w:p>
        </w:tc>
        <w:tc>
          <w:tcPr>
            <w:tcW w:type="dxa" w:w="7546"/>
            <w:vAlign w:val="top"/>
          </w:tcPr>
          <w:p>
            <w:pPr>
              <w:spacing w:after="20" w:line="240" w:lineRule="auto"/>
            </w:pPr>
            <w:r>
              <w:rPr>
                <w:rFonts w:ascii="Calibri" w:hAnsi="Calibri"/>
                <w:sz w:val="15"/>
              </w:rPr>
              <w:t>Open `/pricing`. Confirm the public navigation says `A$0 Pricing` and the page explains the always-free platform price.</w:t>
            </w:r>
          </w:p>
        </w:tc>
      </w:tr>
      <w:tr>
        <w:tc>
          <w:tcPr>
            <w:tcW w:type="dxa" w:w="835"/>
            <w:vAlign w:val="top"/>
          </w:tcPr>
          <w:p>
            <w:pPr>
              <w:spacing w:after="20" w:line="240" w:lineRule="auto"/>
            </w:pPr>
            <w:r>
              <w:rPr>
                <w:rFonts w:ascii="Calibri" w:hAnsi="Calibri"/>
                <w:sz w:val="15"/>
              </w:rPr>
              <w:t>WEB-04</w:t>
            </w:r>
          </w:p>
        </w:tc>
        <w:tc>
          <w:tcPr>
            <w:tcW w:type="dxa" w:w="1958"/>
            <w:vAlign w:val="top"/>
          </w:tcPr>
          <w:p>
            <w:pPr>
              <w:spacing w:after="20" w:line="240" w:lineRule="auto"/>
            </w:pPr>
            <w:r>
              <w:rPr>
                <w:rFonts w:ascii="Calibri" w:hAnsi="Calibri"/>
                <w:sz w:val="15"/>
              </w:rPr>
              <w:t>Fundraising tiles</w:t>
            </w:r>
          </w:p>
        </w:tc>
        <w:tc>
          <w:tcPr>
            <w:tcW w:type="dxa" w:w="7546"/>
            <w:vAlign w:val="top"/>
          </w:tcPr>
          <w:p>
            <w:pPr>
              <w:spacing w:after="20" w:line="240" w:lineRule="auto"/>
            </w:pPr>
            <w:r>
              <w:rPr>
                <w:rFonts w:ascii="Calibri" w:hAnsi="Calibri"/>
                <w:sz w:val="15"/>
              </w:rPr>
              <w:t>Open `/fundraising`. Confirm all seven tools appear, tile badges and CTA text do not say `Sample Preview` or `Open sample preview`, and each tile has an Explore link. Hover and keyboard-focus a tile: it lifts slightly, gains a subtle shadow and retains a visible focus outline.</w:t>
            </w:r>
          </w:p>
        </w:tc>
      </w:tr>
      <w:tr>
        <w:tc>
          <w:tcPr>
            <w:tcW w:type="dxa" w:w="835"/>
            <w:vAlign w:val="top"/>
          </w:tcPr>
          <w:p>
            <w:pPr>
              <w:spacing w:after="20" w:line="240" w:lineRule="auto"/>
            </w:pPr>
            <w:r>
              <w:rPr>
                <w:rFonts w:ascii="Calibri" w:hAnsi="Calibri"/>
                <w:sz w:val="15"/>
              </w:rPr>
              <w:t>WEB-05</w:t>
            </w:r>
          </w:p>
        </w:tc>
        <w:tc>
          <w:tcPr>
            <w:tcW w:type="dxa" w:w="1958"/>
            <w:vAlign w:val="top"/>
          </w:tcPr>
          <w:p>
            <w:pPr>
              <w:spacing w:after="20" w:line="240" w:lineRule="auto"/>
            </w:pPr>
            <w:r>
              <w:rPr>
                <w:rFonts w:ascii="Calibri" w:hAnsi="Calibri"/>
                <w:sz w:val="15"/>
              </w:rPr>
              <w:t>Feature demonstrations</w:t>
            </w:r>
          </w:p>
        </w:tc>
        <w:tc>
          <w:tcPr>
            <w:tcW w:type="dxa" w:w="7546"/>
            <w:vAlign w:val="top"/>
          </w:tcPr>
          <w:p>
            <w:pPr>
              <w:spacing w:after="20" w:line="240" w:lineRule="auto"/>
            </w:pPr>
            <w:r>
              <w:rPr>
                <w:rFonts w:ascii="Calibri" w:hAnsi="Calibri"/>
                <w:sz w:val="15"/>
              </w:rPr>
              <w:t>Open each tile. The detail view is explicitly marked as a non-live demonstration. Confirm it does not create database records, accept bids or charge a payment method.</w:t>
            </w:r>
          </w:p>
        </w:tc>
      </w:tr>
      <w:tr>
        <w:tc>
          <w:tcPr>
            <w:tcW w:type="dxa" w:w="835"/>
            <w:vAlign w:val="top"/>
          </w:tcPr>
          <w:p>
            <w:pPr>
              <w:spacing w:after="20" w:line="240" w:lineRule="auto"/>
            </w:pPr>
            <w:r>
              <w:rPr>
                <w:rFonts w:ascii="Calibri" w:hAnsi="Calibri"/>
                <w:sz w:val="15"/>
              </w:rPr>
              <w:t>WEB-06</w:t>
            </w:r>
          </w:p>
        </w:tc>
        <w:tc>
          <w:tcPr>
            <w:tcW w:type="dxa" w:w="1958"/>
            <w:vAlign w:val="top"/>
          </w:tcPr>
          <w:p>
            <w:pPr>
              <w:spacing w:after="20" w:line="240" w:lineRule="auto"/>
            </w:pPr>
            <w:r>
              <w:rPr>
                <w:rFonts w:ascii="Calibri" w:hAnsi="Calibri"/>
                <w:sz w:val="15"/>
              </w:rPr>
              <w:t>Admin navigation</w:t>
            </w:r>
          </w:p>
        </w:tc>
        <w:tc>
          <w:tcPr>
            <w:tcW w:type="dxa" w:w="7546"/>
            <w:vAlign w:val="top"/>
          </w:tcPr>
          <w:p>
            <w:pPr>
              <w:spacing w:after="20" w:line="240" w:lineRule="auto"/>
            </w:pPr>
            <w:r>
              <w:rPr>
                <w:rFonts w:ascii="Calibri" w:hAnsi="Calibri"/>
                <w:sz w:val="15"/>
              </w:rPr>
              <w:t>Sign in at `/admin`. Confirm there is no Manuals tab. The public footer may still link to the public user manual; it is separate from the admin console.</w:t>
            </w:r>
          </w:p>
        </w:tc>
      </w:tr>
      <w:tr>
        <w:tc>
          <w:tcPr>
            <w:tcW w:type="dxa" w:w="835"/>
            <w:vAlign w:val="top"/>
          </w:tcPr>
          <w:p>
            <w:pPr>
              <w:spacing w:after="20" w:line="240" w:lineRule="auto"/>
            </w:pPr>
            <w:r>
              <w:rPr>
                <w:rFonts w:ascii="Calibri" w:hAnsi="Calibri"/>
                <w:sz w:val="15"/>
              </w:rPr>
              <w:t>WEB-07</w:t>
            </w:r>
          </w:p>
        </w:tc>
        <w:tc>
          <w:tcPr>
            <w:tcW w:type="dxa" w:w="1958"/>
            <w:vAlign w:val="top"/>
          </w:tcPr>
          <w:p>
            <w:pPr>
              <w:spacing w:after="20" w:line="240" w:lineRule="auto"/>
            </w:pPr>
            <w:r>
              <w:rPr>
                <w:rFonts w:ascii="Calibri" w:hAnsi="Calibri"/>
                <w:sz w:val="15"/>
              </w:rPr>
              <w:t>Mobile and motion</w:t>
            </w:r>
          </w:p>
        </w:tc>
        <w:tc>
          <w:tcPr>
            <w:tcW w:type="dxa" w:w="7546"/>
            <w:vAlign w:val="top"/>
          </w:tcPr>
          <w:p>
            <w:pPr>
              <w:spacing w:after="20" w:line="240" w:lineRule="auto"/>
            </w:pPr>
            <w:r>
              <w:rPr>
                <w:rFonts w:ascii="Calibri" w:hAnsi="Calibri"/>
                <w:sz w:val="15"/>
              </w:rPr>
              <w:t>Check the home, pricing and fundraising pages at a narrow viewport. Use keyboard navigation and a reduced-motion preference; layout and tile controls remain usable.</w:t>
            </w:r>
          </w:p>
        </w:tc>
      </w:tr>
    </w:tbl>
    <w:p>
      <w:pPr>
        <w:spacing w:after="20"/>
      </w:pPr>
    </w:p>
    <w:p>
      <w:pPr>
        <w:pStyle w:val="Heading1"/>
      </w:pPr>
      <w:r>
        <w:t>Fundraising and supporter workflows</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trPr>
        <w:tc>
          <w:tcPr>
            <w:tcW w:type="dxa" w:w="835"/>
            <w:vAlign w:val="center"/>
            <w:shd w:fill="30275C"/>
          </w:tcPr>
          <w:p>
            <w:pPr>
              <w:spacing w:after="0"/>
            </w:pPr>
            <w:r>
              <w:rPr>
                <w:rFonts w:ascii="Calibri" w:hAnsi="Calibri"/>
                <w:b/>
                <w:color w:val="FFFFFF"/>
                <w:sz w:val="15"/>
              </w:rPr>
              <w:t>ID</w:t>
            </w:r>
          </w:p>
        </w:tc>
        <w:tc>
          <w:tcPr>
            <w:tcW w:type="dxa" w:w="1958"/>
            <w:vAlign w:val="center"/>
            <w:shd w:fill="30275C"/>
          </w:tcPr>
          <w:p>
            <w:pPr>
              <w:spacing w:after="0"/>
            </w:pPr>
            <w:r>
              <w:rPr>
                <w:rFonts w:ascii="Calibri" w:hAnsi="Calibri"/>
                <w:b/>
                <w:color w:val="FFFFFF"/>
                <w:sz w:val="15"/>
              </w:rPr>
              <w:t>Capability</w:t>
            </w:r>
          </w:p>
        </w:tc>
        <w:tc>
          <w:tcPr>
            <w:tcW w:type="dxa" w:w="7546"/>
            <w:vAlign w:val="center"/>
            <w:shd w:fill="30275C"/>
          </w:tcPr>
          <w:p>
            <w:pPr>
              <w:spacing w:after="0"/>
            </w:pPr>
            <w:r>
              <w:rPr>
                <w:rFonts w:ascii="Calibri" w:hAnsi="Calibri"/>
                <w:b/>
                <w:color w:val="FFFFFF"/>
                <w:sz w:val="15"/>
              </w:rPr>
              <w:t>Steps and expected result</w:t>
            </w:r>
          </w:p>
        </w:tc>
      </w:tr>
      <w:tr>
        <w:tc>
          <w:tcPr>
            <w:tcW w:type="dxa" w:w="835"/>
            <w:vAlign w:val="top"/>
          </w:tcPr>
          <w:p>
            <w:pPr>
              <w:spacing w:after="20" w:line="240" w:lineRule="auto"/>
            </w:pPr>
            <w:r>
              <w:rPr>
                <w:rFonts w:ascii="Calibri" w:hAnsi="Calibri"/>
                <w:sz w:val="15"/>
              </w:rPr>
              <w:t>FUN-01</w:t>
            </w:r>
          </w:p>
        </w:tc>
        <w:tc>
          <w:tcPr>
            <w:tcW w:type="dxa" w:w="1958"/>
            <w:vAlign w:val="top"/>
          </w:tcPr>
          <w:p>
            <w:pPr>
              <w:spacing w:after="20" w:line="240" w:lineRule="auto"/>
            </w:pPr>
            <w:r>
              <w:rPr>
                <w:rFonts w:ascii="Calibri" w:hAnsi="Calibri"/>
                <w:sz w:val="15"/>
              </w:rPr>
              <w:t>Donations</w:t>
            </w:r>
          </w:p>
        </w:tc>
        <w:tc>
          <w:tcPr>
            <w:tcW w:type="dxa" w:w="7546"/>
            <w:vAlign w:val="top"/>
          </w:tcPr>
          <w:p>
            <w:pPr>
              <w:spacing w:after="20" w:line="240" w:lineRule="auto"/>
            </w:pPr>
            <w:r>
              <w:rPr>
                <w:rFonts w:ascii="Calibri" w:hAnsi="Calibri"/>
                <w:sz w:val="15"/>
              </w:rPr>
              <w:t>Create and publish a test campaign for an approved test organisation. Make a small AUD donation using sandbox checkout. Verify the donation is attached to the right organisation/campaign and changes to paid only after provider confirmation.</w:t>
            </w:r>
          </w:p>
        </w:tc>
      </w:tr>
      <w:tr>
        <w:tc>
          <w:tcPr>
            <w:tcW w:type="dxa" w:w="835"/>
            <w:vAlign w:val="top"/>
          </w:tcPr>
          <w:p>
            <w:pPr>
              <w:spacing w:after="20" w:line="240" w:lineRule="auto"/>
            </w:pPr>
            <w:r>
              <w:rPr>
                <w:rFonts w:ascii="Calibri" w:hAnsi="Calibri"/>
                <w:sz w:val="15"/>
              </w:rPr>
              <w:t>FUN-02</w:t>
            </w:r>
          </w:p>
        </w:tc>
        <w:tc>
          <w:tcPr>
            <w:tcW w:type="dxa" w:w="1958"/>
            <w:vAlign w:val="top"/>
          </w:tcPr>
          <w:p>
            <w:pPr>
              <w:spacing w:after="20" w:line="240" w:lineRule="auto"/>
            </w:pPr>
            <w:r>
              <w:rPr>
                <w:rFonts w:ascii="Calibri" w:hAnsi="Calibri"/>
                <w:sz w:val="15"/>
              </w:rPr>
              <w:t>Peer-to-peer</w:t>
            </w:r>
          </w:p>
        </w:tc>
        <w:tc>
          <w:tcPr>
            <w:tcW w:type="dxa" w:w="7546"/>
            <w:vAlign w:val="top"/>
          </w:tcPr>
          <w:p>
            <w:pPr>
              <w:spacing w:after="20" w:line="240" w:lineRule="auto"/>
            </w:pPr>
            <w:r>
              <w:rPr>
                <w:rFonts w:ascii="Calibri" w:hAnsi="Calibri"/>
                <w:sz w:val="15"/>
              </w:rPr>
              <w:t>Create a team and supporter fundraising page for the test campaign. Open the public page, confirm team/campaign attribution, and test a sandbox donation.</w:t>
            </w:r>
          </w:p>
        </w:tc>
      </w:tr>
      <w:tr>
        <w:tc>
          <w:tcPr>
            <w:tcW w:type="dxa" w:w="835"/>
            <w:vAlign w:val="top"/>
          </w:tcPr>
          <w:p>
            <w:pPr>
              <w:spacing w:after="20" w:line="240" w:lineRule="auto"/>
            </w:pPr>
            <w:r>
              <w:rPr>
                <w:rFonts w:ascii="Calibri" w:hAnsi="Calibri"/>
                <w:sz w:val="15"/>
              </w:rPr>
              <w:t>FUN-03</w:t>
            </w:r>
          </w:p>
        </w:tc>
        <w:tc>
          <w:tcPr>
            <w:tcW w:type="dxa" w:w="1958"/>
            <w:vAlign w:val="top"/>
          </w:tcPr>
          <w:p>
            <w:pPr>
              <w:spacing w:after="20" w:line="240" w:lineRule="auto"/>
            </w:pPr>
            <w:r>
              <w:rPr>
                <w:rFonts w:ascii="Calibri" w:hAnsi="Calibri"/>
                <w:sz w:val="15"/>
              </w:rPr>
              <w:t>Auctions</w:t>
            </w:r>
          </w:p>
        </w:tc>
        <w:tc>
          <w:tcPr>
            <w:tcW w:type="dxa" w:w="7546"/>
            <w:vAlign w:val="top"/>
          </w:tcPr>
          <w:p>
            <w:pPr>
              <w:spacing w:after="20" w:line="240" w:lineRule="auto"/>
            </w:pPr>
            <w:r>
              <w:rPr>
                <w:rFonts w:ascii="Calibri" w:hAnsi="Calibri"/>
                <w:sz w:val="15"/>
              </w:rPr>
              <w:t>Create an event and auction item with future start/end times. Place valid and invalid public bids, confirm bid increments and leading-bid updates, award the winner, and complete winner checkout in sandbox.</w:t>
            </w:r>
          </w:p>
        </w:tc>
      </w:tr>
      <w:tr>
        <w:tc>
          <w:tcPr>
            <w:tcW w:type="dxa" w:w="835"/>
            <w:vAlign w:val="top"/>
          </w:tcPr>
          <w:p>
            <w:pPr>
              <w:spacing w:after="20" w:line="240" w:lineRule="auto"/>
            </w:pPr>
            <w:r>
              <w:rPr>
                <w:rFonts w:ascii="Calibri" w:hAnsi="Calibri"/>
                <w:sz w:val="15"/>
              </w:rPr>
              <w:t>FUN-04</w:t>
            </w:r>
          </w:p>
        </w:tc>
        <w:tc>
          <w:tcPr>
            <w:tcW w:type="dxa" w:w="1958"/>
            <w:vAlign w:val="top"/>
          </w:tcPr>
          <w:p>
            <w:pPr>
              <w:spacing w:after="20" w:line="240" w:lineRule="auto"/>
            </w:pPr>
            <w:r>
              <w:rPr>
                <w:rFonts w:ascii="Calibri" w:hAnsi="Calibri"/>
                <w:sz w:val="15"/>
              </w:rPr>
              <w:t>Membership</w:t>
            </w:r>
          </w:p>
        </w:tc>
        <w:tc>
          <w:tcPr>
            <w:tcW w:type="dxa" w:w="7546"/>
            <w:vAlign w:val="top"/>
          </w:tcPr>
          <w:p>
            <w:pPr>
              <w:spacing w:after="20" w:line="240" w:lineRule="auto"/>
            </w:pPr>
            <w:r>
              <w:rPr>
                <w:rFonts w:ascii="Calibri" w:hAnsi="Calibri"/>
                <w:sz w:val="15"/>
              </w:rPr>
              <w:t>Publish monthly and annual AUD membership tiers. Test checkout and subscription confirmation, renewal webhook, cancellation and failed-payment status with provider test events.</w:t>
            </w:r>
          </w:p>
        </w:tc>
      </w:tr>
      <w:tr>
        <w:tc>
          <w:tcPr>
            <w:tcW w:type="dxa" w:w="835"/>
            <w:vAlign w:val="top"/>
          </w:tcPr>
          <w:p>
            <w:pPr>
              <w:spacing w:after="20" w:line="240" w:lineRule="auto"/>
            </w:pPr>
            <w:r>
              <w:rPr>
                <w:rFonts w:ascii="Calibri" w:hAnsi="Calibri"/>
                <w:sz w:val="15"/>
              </w:rPr>
              <w:t>FUN-05</w:t>
            </w:r>
          </w:p>
        </w:tc>
        <w:tc>
          <w:tcPr>
            <w:tcW w:type="dxa" w:w="1958"/>
            <w:vAlign w:val="top"/>
          </w:tcPr>
          <w:p>
            <w:pPr>
              <w:spacing w:after="20" w:line="240" w:lineRule="auto"/>
            </w:pPr>
            <w:r>
              <w:rPr>
                <w:rFonts w:ascii="Calibri" w:hAnsi="Calibri"/>
                <w:sz w:val="15"/>
              </w:rPr>
              <w:t>Online store</w:t>
            </w:r>
          </w:p>
        </w:tc>
        <w:tc>
          <w:tcPr>
            <w:tcW w:type="dxa" w:w="7546"/>
            <w:vAlign w:val="top"/>
          </w:tcPr>
          <w:p>
            <w:pPr>
              <w:spacing w:after="20" w:line="240" w:lineRule="auto"/>
            </w:pPr>
            <w:r>
              <w:rPr>
                <w:rFonts w:ascii="Calibri" w:hAnsi="Calibri"/>
                <w:sz w:val="15"/>
              </w:rPr>
              <w:t>Publish a product with limited stock. Complete sandbox checkout; verify stock reservation, successful fulfilment state, and release of stock after an expired or cancelled checkout.</w:t>
            </w:r>
          </w:p>
        </w:tc>
      </w:tr>
      <w:tr>
        <w:tc>
          <w:tcPr>
            <w:tcW w:type="dxa" w:w="835"/>
            <w:vAlign w:val="top"/>
          </w:tcPr>
          <w:p>
            <w:pPr>
              <w:spacing w:after="20" w:line="240" w:lineRule="auto"/>
            </w:pPr>
            <w:r>
              <w:rPr>
                <w:rFonts w:ascii="Calibri" w:hAnsi="Calibri"/>
                <w:sz w:val="15"/>
              </w:rPr>
              <w:t>FUN-06</w:t>
            </w:r>
          </w:p>
        </w:tc>
        <w:tc>
          <w:tcPr>
            <w:tcW w:type="dxa" w:w="1958"/>
            <w:vAlign w:val="top"/>
          </w:tcPr>
          <w:p>
            <w:pPr>
              <w:spacing w:after="20" w:line="240" w:lineRule="auto"/>
            </w:pPr>
            <w:r>
              <w:rPr>
                <w:rFonts w:ascii="Calibri" w:hAnsi="Calibri"/>
                <w:sz w:val="15"/>
              </w:rPr>
              <w:t>CRM and donor segments</w:t>
            </w:r>
          </w:p>
        </w:tc>
        <w:tc>
          <w:tcPr>
            <w:tcW w:type="dxa" w:w="7546"/>
            <w:vAlign w:val="top"/>
          </w:tcPr>
          <w:p>
            <w:pPr>
              <w:spacing w:after="20" w:line="240" w:lineRule="auto"/>
            </w:pPr>
            <w:r>
              <w:rPr>
                <w:rFonts w:ascii="Calibri" w:hAnsi="Calibri"/>
                <w:sz w:val="15"/>
              </w:rPr>
              <w:t>Review the test supporter timeline after a test donation or event interaction. Create a segment using a supported criterion and verify only matching supporters appear in its count.</w:t>
            </w:r>
          </w:p>
        </w:tc>
      </w:tr>
      <w:tr>
        <w:tc>
          <w:tcPr>
            <w:tcW w:type="dxa" w:w="835"/>
            <w:vAlign w:val="top"/>
          </w:tcPr>
          <w:p>
            <w:pPr>
              <w:spacing w:after="20" w:line="240" w:lineRule="auto"/>
            </w:pPr>
            <w:r>
              <w:rPr>
                <w:rFonts w:ascii="Calibri" w:hAnsi="Calibri"/>
                <w:sz w:val="15"/>
              </w:rPr>
              <w:t>FUN-07</w:t>
            </w:r>
          </w:p>
        </w:tc>
        <w:tc>
          <w:tcPr>
            <w:tcW w:type="dxa" w:w="1958"/>
            <w:vAlign w:val="top"/>
          </w:tcPr>
          <w:p>
            <w:pPr>
              <w:spacing w:after="20" w:line="240" w:lineRule="auto"/>
            </w:pPr>
            <w:r>
              <w:rPr>
                <w:rFonts w:ascii="Calibri" w:hAnsi="Calibri"/>
                <w:sz w:val="15"/>
              </w:rPr>
              <w:t>Newsletter and email</w:t>
            </w:r>
          </w:p>
        </w:tc>
        <w:tc>
          <w:tcPr>
            <w:tcW w:type="dxa" w:w="7546"/>
            <w:vAlign w:val="top"/>
          </w:tcPr>
          <w:p>
            <w:pPr>
              <w:spacing w:after="20" w:line="240" w:lineRule="auto"/>
            </w:pPr>
            <w:r>
              <w:rPr>
                <w:rFonts w:ascii="Calibri" w:hAnsi="Calibri"/>
                <w:sz w:val="15"/>
              </w:rPr>
              <w:t>Create a draft update for a test segment. Verify opted-out and non-consenting contacts are excluded. Schedule/send only through a controlled test mail sink; check delivery, open/click tracking and cancellation.</w:t>
            </w:r>
          </w:p>
        </w:tc>
      </w:tr>
      <w:tr>
        <w:tc>
          <w:tcPr>
            <w:tcW w:type="dxa" w:w="835"/>
            <w:vAlign w:val="top"/>
          </w:tcPr>
          <w:p>
            <w:pPr>
              <w:spacing w:after="20" w:line="240" w:lineRule="auto"/>
            </w:pPr>
            <w:r>
              <w:rPr>
                <w:rFonts w:ascii="Calibri" w:hAnsi="Calibri"/>
                <w:sz w:val="15"/>
              </w:rPr>
              <w:t>FUN-08</w:t>
            </w:r>
          </w:p>
        </w:tc>
        <w:tc>
          <w:tcPr>
            <w:tcW w:type="dxa" w:w="1958"/>
            <w:vAlign w:val="top"/>
          </w:tcPr>
          <w:p>
            <w:pPr>
              <w:spacing w:after="20" w:line="240" w:lineRule="auto"/>
            </w:pPr>
            <w:r>
              <w:rPr>
                <w:rFonts w:ascii="Calibri" w:hAnsi="Calibri"/>
                <w:sz w:val="15"/>
              </w:rPr>
              <w:t>Organisation boundaries</w:t>
            </w:r>
          </w:p>
        </w:tc>
        <w:tc>
          <w:tcPr>
            <w:tcW w:type="dxa" w:w="7546"/>
            <w:vAlign w:val="top"/>
          </w:tcPr>
          <w:p>
            <w:pPr>
              <w:spacing w:after="20" w:line="240" w:lineRule="auto"/>
            </w:pPr>
            <w:r>
              <w:rPr>
                <w:rFonts w:ascii="Calibri" w:hAnsi="Calibri"/>
                <w:sz w:val="15"/>
              </w:rPr>
              <w:t>Create two test organisations and users with different roles. Attempt to open the other organisation's supporter, finance and event records. Access must be denied; read-only accounts cannot write.</w:t>
            </w:r>
          </w:p>
        </w:tc>
      </w:tr>
      <w:tr>
        <w:tc>
          <w:tcPr>
            <w:tcW w:type="dxa" w:w="835"/>
            <w:vAlign w:val="top"/>
          </w:tcPr>
          <w:p>
            <w:pPr>
              <w:spacing w:after="20" w:line="240" w:lineRule="auto"/>
            </w:pPr>
            <w:r>
              <w:rPr>
                <w:rFonts w:ascii="Calibri" w:hAnsi="Calibri"/>
                <w:sz w:val="15"/>
              </w:rPr>
              <w:t>FUN-09</w:t>
            </w:r>
          </w:p>
        </w:tc>
        <w:tc>
          <w:tcPr>
            <w:tcW w:type="dxa" w:w="1958"/>
            <w:vAlign w:val="top"/>
          </w:tcPr>
          <w:p>
            <w:pPr>
              <w:spacing w:after="20" w:line="240" w:lineRule="auto"/>
            </w:pPr>
            <w:r>
              <w:rPr>
                <w:rFonts w:ascii="Calibri" w:hAnsi="Calibri"/>
                <w:sz w:val="15"/>
              </w:rPr>
              <w:t>Australian donation claims</w:t>
            </w:r>
          </w:p>
        </w:tc>
        <w:tc>
          <w:tcPr>
            <w:tcW w:type="dxa" w:w="7546"/>
            <w:vAlign w:val="top"/>
          </w:tcPr>
          <w:p>
            <w:pPr>
              <w:spacing w:after="20" w:line="240" w:lineRule="auto"/>
            </w:pPr>
            <w:r>
              <w:rPr>
                <w:rFonts w:ascii="Calibri" w:hAnsi="Calibri"/>
                <w:sz w:val="15"/>
              </w:rPr>
              <w:t>Verify receipts and public copy do not claim tax deductibility without confirmed DGR eligibility. Check that profile approval is not presented as ACNC or DGR verification.</w:t>
            </w:r>
          </w:p>
        </w:tc>
      </w:tr>
    </w:tbl>
    <w:p>
      <w:pPr>
        <w:spacing w:after="20"/>
      </w:pPr>
    </w:p>
    <w:p>
      <w:pPr>
        <w:pStyle w:val="Heading1"/>
      </w:pPr>
      <w:r>
        <w:t>CSV fixture files and import order</w:t>
      </w:r>
    </w:p>
    <w:p>
      <w:r>
        <w:t>Use Admin → Data Management → Database Tables to select a table, validate a CSV preview and import a small batch. The importer creates primary keys; leave `id` out. It accepts up to 500 rows, requires exact column names, and rolls back a batch if a row fails. The companion archive has one CSV per listed fixture table, plus one deliberately invalid file for rejection testing.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trPr>
        <w:tc>
          <w:tcPr>
            <w:tcW w:type="dxa" w:w="662"/>
            <w:vAlign w:val="center"/>
            <w:shd w:fill="30275C"/>
          </w:tcPr>
          <w:p>
            <w:pPr>
              <w:spacing w:after="0"/>
            </w:pPr>
            <w:r>
              <w:rPr>
                <w:rFonts w:ascii="Calibri" w:hAnsi="Calibri"/>
                <w:b/>
                <w:color w:val="FFFFFF"/>
                <w:sz w:val="15"/>
              </w:rPr>
              <w:t>Order</w:t>
            </w:r>
          </w:p>
        </w:tc>
        <w:tc>
          <w:tcPr>
            <w:tcW w:type="dxa" w:w="3283"/>
            <w:vAlign w:val="center"/>
            <w:shd w:fill="30275C"/>
          </w:tcPr>
          <w:p>
            <w:pPr>
              <w:spacing w:after="0"/>
            </w:pPr>
            <w:r>
              <w:rPr>
                <w:rFonts w:ascii="Calibri" w:hAnsi="Calibri"/>
                <w:b/>
                <w:color w:val="FFFFFF"/>
                <w:sz w:val="15"/>
              </w:rPr>
              <w:t>CSV file</w:t>
            </w:r>
          </w:p>
        </w:tc>
        <w:tc>
          <w:tcPr>
            <w:tcW w:type="dxa" w:w="6394"/>
            <w:vAlign w:val="center"/>
            <w:shd w:fill="30275C"/>
          </w:tcPr>
          <w:p>
            <w:pPr>
              <w:spacing w:after="0"/>
            </w:pPr>
            <w:r>
              <w:rPr>
                <w:rFonts w:ascii="Calibri" w:hAnsi="Calibri"/>
                <w:b/>
                <w:color w:val="FFFFFF"/>
                <w:sz w:val="15"/>
              </w:rPr>
              <w:t>Table and dependency</w:t>
            </w:r>
          </w:p>
        </w:tc>
      </w:tr>
      <w:tr>
        <w:tc>
          <w:tcPr>
            <w:tcW w:type="dxa" w:w="662"/>
            <w:vAlign w:val="top"/>
          </w:tcPr>
          <w:p>
            <w:pPr>
              <w:spacing w:after="20" w:line="240" w:lineRule="auto"/>
            </w:pPr>
            <w:r>
              <w:rPr>
                <w:rFonts w:ascii="Calibri" w:hAnsi="Calibri"/>
                <w:sz w:val="15"/>
              </w:rPr>
              <w:t>1</w:t>
            </w:r>
          </w:p>
        </w:tc>
        <w:tc>
          <w:tcPr>
            <w:tcW w:type="dxa" w:w="3283"/>
            <w:vAlign w:val="top"/>
          </w:tcPr>
          <w:p>
            <w:pPr>
              <w:spacing w:after="20" w:line="240" w:lineRule="auto"/>
            </w:pPr>
            <w:r>
              <w:rPr>
                <w:rFonts w:ascii="Calibri" w:hAnsi="Calibri"/>
                <w:sz w:val="15"/>
              </w:rPr>
              <w:t>test-organisations.csv</w:t>
            </w:r>
          </w:p>
        </w:tc>
        <w:tc>
          <w:tcPr>
            <w:tcW w:type="dxa" w:w="6394"/>
            <w:vAlign w:val="top"/>
          </w:tcPr>
          <w:p>
            <w:pPr>
              <w:spacing w:after="20" w:line="240" w:lineRule="auto"/>
            </w:pPr>
            <w:r>
              <w:rPr>
                <w:rFonts w:ascii="Calibri" w:hAnsi="Calibri"/>
                <w:sz w:val="15"/>
              </w:rPr>
              <w:t>kutumb_organisations; no foreign-key ID required.</w:t>
            </w:r>
          </w:p>
        </w:tc>
      </w:tr>
      <w:tr>
        <w:tc>
          <w:tcPr>
            <w:tcW w:type="dxa" w:w="662"/>
            <w:vAlign w:val="top"/>
          </w:tcPr>
          <w:p>
            <w:pPr>
              <w:spacing w:after="20" w:line="240" w:lineRule="auto"/>
            </w:pPr>
            <w:r>
              <w:rPr>
                <w:rFonts w:ascii="Calibri" w:hAnsi="Calibri"/>
                <w:sz w:val="15"/>
              </w:rPr>
              <w:t>2</w:t>
            </w:r>
          </w:p>
        </w:tc>
        <w:tc>
          <w:tcPr>
            <w:tcW w:type="dxa" w:w="3283"/>
            <w:vAlign w:val="top"/>
          </w:tcPr>
          <w:p>
            <w:pPr>
              <w:spacing w:after="20" w:line="240" w:lineRule="auto"/>
            </w:pPr>
            <w:r>
              <w:rPr>
                <w:rFonts w:ascii="Calibri" w:hAnsi="Calibri"/>
                <w:sz w:val="15"/>
              </w:rPr>
              <w:t>test-events.csv</w:t>
            </w:r>
          </w:p>
        </w:tc>
        <w:tc>
          <w:tcPr>
            <w:tcW w:type="dxa" w:w="6394"/>
            <w:vAlign w:val="top"/>
          </w:tcPr>
          <w:p>
            <w:pPr>
              <w:spacing w:after="20" w:line="240" w:lineRule="auto"/>
            </w:pPr>
            <w:r>
              <w:rPr>
                <w:rFonts w:ascii="Calibri" w:hAnsi="Calibri"/>
                <w:sz w:val="15"/>
              </w:rPr>
              <w:t>kutumb_upcoming_events; set organisation_id to the test organisation ID.</w:t>
            </w:r>
          </w:p>
        </w:tc>
      </w:tr>
      <w:tr>
        <w:tc>
          <w:tcPr>
            <w:tcW w:type="dxa" w:w="662"/>
            <w:vAlign w:val="top"/>
          </w:tcPr>
          <w:p>
            <w:pPr>
              <w:spacing w:after="20" w:line="240" w:lineRule="auto"/>
            </w:pPr>
            <w:r>
              <w:rPr>
                <w:rFonts w:ascii="Calibri" w:hAnsi="Calibri"/>
                <w:sz w:val="15"/>
              </w:rPr>
              <w:t>3</w:t>
            </w:r>
          </w:p>
        </w:tc>
        <w:tc>
          <w:tcPr>
            <w:tcW w:type="dxa" w:w="3283"/>
            <w:vAlign w:val="top"/>
          </w:tcPr>
          <w:p>
            <w:pPr>
              <w:spacing w:after="20" w:line="240" w:lineRule="auto"/>
            </w:pPr>
            <w:r>
              <w:rPr>
                <w:rFonts w:ascii="Calibri" w:hAnsi="Calibri"/>
                <w:sz w:val="15"/>
              </w:rPr>
              <w:t>test-campaigns.csv</w:t>
            </w:r>
          </w:p>
        </w:tc>
        <w:tc>
          <w:tcPr>
            <w:tcW w:type="dxa" w:w="6394"/>
            <w:vAlign w:val="top"/>
          </w:tcPr>
          <w:p>
            <w:pPr>
              <w:spacing w:after="20" w:line="240" w:lineRule="auto"/>
            </w:pPr>
            <w:r>
              <w:rPr>
                <w:rFonts w:ascii="Calibri" w:hAnsi="Calibri"/>
                <w:sz w:val="15"/>
              </w:rPr>
              <w:t>kutumb_organisation_campaigns; set organisation_id to the test organisation ID.</w:t>
            </w:r>
          </w:p>
        </w:tc>
      </w:tr>
      <w:tr>
        <w:tc>
          <w:tcPr>
            <w:tcW w:type="dxa" w:w="662"/>
            <w:vAlign w:val="top"/>
          </w:tcPr>
          <w:p>
            <w:pPr>
              <w:spacing w:after="20" w:line="240" w:lineRule="auto"/>
            </w:pPr>
            <w:r>
              <w:rPr>
                <w:rFonts w:ascii="Calibri" w:hAnsi="Calibri"/>
                <w:sz w:val="15"/>
              </w:rPr>
              <w:t>4</w:t>
            </w:r>
          </w:p>
        </w:tc>
        <w:tc>
          <w:tcPr>
            <w:tcW w:type="dxa" w:w="3283"/>
            <w:vAlign w:val="top"/>
          </w:tcPr>
          <w:p>
            <w:pPr>
              <w:spacing w:after="20" w:line="240" w:lineRule="auto"/>
            </w:pPr>
            <w:r>
              <w:rPr>
                <w:rFonts w:ascii="Calibri" w:hAnsi="Calibri"/>
                <w:sz w:val="15"/>
              </w:rPr>
              <w:t>test-supporters.csv</w:t>
            </w:r>
          </w:p>
        </w:tc>
        <w:tc>
          <w:tcPr>
            <w:tcW w:type="dxa" w:w="6394"/>
            <w:vAlign w:val="top"/>
          </w:tcPr>
          <w:p>
            <w:pPr>
              <w:spacing w:after="20" w:line="240" w:lineRule="auto"/>
            </w:pPr>
            <w:r>
              <w:rPr>
                <w:rFonts w:ascii="Calibri" w:hAnsi="Calibri"/>
                <w:sz w:val="15"/>
              </w:rPr>
              <w:t>kutumb_supporters; set organisation_id to the test organisation ID.</w:t>
            </w:r>
          </w:p>
        </w:tc>
      </w:tr>
      <w:tr>
        <w:tc>
          <w:tcPr>
            <w:tcW w:type="dxa" w:w="662"/>
            <w:vAlign w:val="top"/>
          </w:tcPr>
          <w:p>
            <w:pPr>
              <w:spacing w:after="20" w:line="240" w:lineRule="auto"/>
            </w:pPr>
            <w:r>
              <w:rPr>
                <w:rFonts w:ascii="Calibri" w:hAnsi="Calibri"/>
                <w:sz w:val="15"/>
              </w:rPr>
              <w:t>5</w:t>
            </w:r>
          </w:p>
        </w:tc>
        <w:tc>
          <w:tcPr>
            <w:tcW w:type="dxa" w:w="3283"/>
            <w:vAlign w:val="top"/>
          </w:tcPr>
          <w:p>
            <w:pPr>
              <w:spacing w:after="20" w:line="240" w:lineRule="auto"/>
            </w:pPr>
            <w:r>
              <w:rPr>
                <w:rFonts w:ascii="Calibri" w:hAnsi="Calibri"/>
                <w:sz w:val="15"/>
              </w:rPr>
              <w:t>test-auction-items.csv</w:t>
            </w:r>
          </w:p>
        </w:tc>
        <w:tc>
          <w:tcPr>
            <w:tcW w:type="dxa" w:w="6394"/>
            <w:vAlign w:val="top"/>
          </w:tcPr>
          <w:p>
            <w:pPr>
              <w:spacing w:after="20" w:line="240" w:lineRule="auto"/>
            </w:pPr>
            <w:r>
              <w:rPr>
                <w:rFonts w:ascii="Calibri" w:hAnsi="Calibri"/>
                <w:sz w:val="15"/>
              </w:rPr>
              <w:t>kutumb_auction_items; set organisation_id and event_id to the actual test IDs.</w:t>
            </w:r>
          </w:p>
        </w:tc>
      </w:tr>
      <w:tr>
        <w:tc>
          <w:tcPr>
            <w:tcW w:type="dxa" w:w="662"/>
            <w:vAlign w:val="top"/>
          </w:tcPr>
          <w:p>
            <w:pPr>
              <w:spacing w:after="20" w:line="240" w:lineRule="auto"/>
            </w:pPr>
            <w:r>
              <w:rPr>
                <w:rFonts w:ascii="Calibri" w:hAnsi="Calibri"/>
                <w:sz w:val="15"/>
              </w:rPr>
              <w:t>6</w:t>
            </w:r>
          </w:p>
        </w:tc>
        <w:tc>
          <w:tcPr>
            <w:tcW w:type="dxa" w:w="3283"/>
            <w:vAlign w:val="top"/>
          </w:tcPr>
          <w:p>
            <w:pPr>
              <w:spacing w:after="20" w:line="240" w:lineRule="auto"/>
            </w:pPr>
            <w:r>
              <w:rPr>
                <w:rFonts w:ascii="Calibri" w:hAnsi="Calibri"/>
                <w:sz w:val="15"/>
              </w:rPr>
              <w:t>test-fundraising-teams.csv and test-fundraising-pages.csv</w:t>
            </w:r>
          </w:p>
        </w:tc>
        <w:tc>
          <w:tcPr>
            <w:tcW w:type="dxa" w:w="6394"/>
            <w:vAlign w:val="top"/>
          </w:tcPr>
          <w:p>
            <w:pPr>
              <w:spacing w:after="20" w:line="240" w:lineRule="auto"/>
            </w:pPr>
            <w:r>
              <w:rPr>
                <w:rFonts w:ascii="Calibri" w:hAnsi="Calibri"/>
                <w:sz w:val="15"/>
              </w:rPr>
              <w:t>Set organisation_id and campaign_id to the generated test IDs. Blank optional IDs are omitted.</w:t>
            </w:r>
          </w:p>
        </w:tc>
      </w:tr>
      <w:tr>
        <w:tc>
          <w:tcPr>
            <w:tcW w:type="dxa" w:w="662"/>
            <w:vAlign w:val="top"/>
          </w:tcPr>
          <w:p>
            <w:pPr>
              <w:spacing w:after="20" w:line="240" w:lineRule="auto"/>
            </w:pPr>
            <w:r>
              <w:rPr>
                <w:rFonts w:ascii="Calibri" w:hAnsi="Calibri"/>
                <w:sz w:val="15"/>
              </w:rPr>
              <w:t>7</w:t>
            </w:r>
          </w:p>
        </w:tc>
        <w:tc>
          <w:tcPr>
            <w:tcW w:type="dxa" w:w="3283"/>
            <w:vAlign w:val="top"/>
          </w:tcPr>
          <w:p>
            <w:pPr>
              <w:spacing w:after="20" w:line="240" w:lineRule="auto"/>
            </w:pPr>
            <w:r>
              <w:rPr>
                <w:rFonts w:ascii="Calibri" w:hAnsi="Calibri"/>
                <w:sz w:val="15"/>
              </w:rPr>
              <w:t>test-membership-tiers.csv and test-store-products.csv</w:t>
            </w:r>
          </w:p>
        </w:tc>
        <w:tc>
          <w:tcPr>
            <w:tcW w:type="dxa" w:w="6394"/>
            <w:vAlign w:val="top"/>
          </w:tcPr>
          <w:p>
            <w:pPr>
              <w:spacing w:after="20" w:line="240" w:lineRule="auto"/>
            </w:pPr>
            <w:r>
              <w:rPr>
                <w:rFonts w:ascii="Calibri" w:hAnsi="Calibri"/>
                <w:sz w:val="15"/>
              </w:rPr>
              <w:t>Set organisation_id to the test organisation ID.</w:t>
            </w:r>
          </w:p>
        </w:tc>
      </w:tr>
      <w:tr>
        <w:tc>
          <w:tcPr>
            <w:tcW w:type="dxa" w:w="662"/>
            <w:vAlign w:val="top"/>
          </w:tcPr>
          <w:p>
            <w:pPr>
              <w:spacing w:after="20" w:line="240" w:lineRule="auto"/>
            </w:pPr>
            <w:r>
              <w:rPr>
                <w:rFonts w:ascii="Calibri" w:hAnsi="Calibri"/>
                <w:sz w:val="15"/>
              </w:rPr>
              <w:t>8</w:t>
            </w:r>
          </w:p>
        </w:tc>
        <w:tc>
          <w:tcPr>
            <w:tcW w:type="dxa" w:w="3283"/>
            <w:vAlign w:val="top"/>
          </w:tcPr>
          <w:p>
            <w:pPr>
              <w:spacing w:after="20" w:line="240" w:lineRule="auto"/>
            </w:pPr>
            <w:r>
              <w:rPr>
                <w:rFonts w:ascii="Calibri" w:hAnsi="Calibri"/>
                <w:sz w:val="15"/>
              </w:rPr>
              <w:t>test-donor-segments.csv</w:t>
            </w:r>
          </w:p>
        </w:tc>
        <w:tc>
          <w:tcPr>
            <w:tcW w:type="dxa" w:w="6394"/>
            <w:vAlign w:val="top"/>
          </w:tcPr>
          <w:p>
            <w:pPr>
              <w:spacing w:after="20" w:line="240" w:lineRule="auto"/>
            </w:pPr>
            <w:r>
              <w:rPr>
                <w:rFonts w:ascii="Calibri" w:hAnsi="Calibri"/>
                <w:sz w:val="15"/>
              </w:rPr>
              <w:t>Set organisation_id; criteria is a JSON object in one CSV cell.</w:t>
            </w:r>
          </w:p>
        </w:tc>
      </w:tr>
      <w:tr>
        <w:tc>
          <w:tcPr>
            <w:tcW w:type="dxa" w:w="662"/>
            <w:vAlign w:val="top"/>
          </w:tcPr>
          <w:p>
            <w:pPr>
              <w:spacing w:after="20" w:line="240" w:lineRule="auto"/>
            </w:pPr>
            <w:r>
              <w:rPr>
                <w:rFonts w:ascii="Calibri" w:hAnsi="Calibri"/>
                <w:sz w:val="15"/>
              </w:rPr>
              <w:t>9</w:t>
            </w:r>
          </w:p>
        </w:tc>
        <w:tc>
          <w:tcPr>
            <w:tcW w:type="dxa" w:w="3283"/>
            <w:vAlign w:val="top"/>
          </w:tcPr>
          <w:p>
            <w:pPr>
              <w:spacing w:after="20" w:line="240" w:lineRule="auto"/>
            </w:pPr>
            <w:r>
              <w:rPr>
                <w:rFonts w:ascii="Calibri" w:hAnsi="Calibri"/>
                <w:sz w:val="15"/>
              </w:rPr>
              <w:t>test-email-campaigns.csv</w:t>
            </w:r>
          </w:p>
        </w:tc>
        <w:tc>
          <w:tcPr>
            <w:tcW w:type="dxa" w:w="6394"/>
            <w:vAlign w:val="top"/>
          </w:tcPr>
          <w:p>
            <w:pPr>
              <w:spacing w:after="20" w:line="240" w:lineRule="auto"/>
            </w:pPr>
            <w:r>
              <w:rPr>
                <w:rFonts w:ascii="Calibri" w:hAnsi="Calibri"/>
                <w:sz w:val="15"/>
              </w:rPr>
              <w:t>Set organisation_id and segment_id. It creates a draft; do not send it to real supporters.</w:t>
            </w:r>
          </w:p>
        </w:tc>
      </w:tr>
      <w:tr>
        <w:tc>
          <w:tcPr>
            <w:tcW w:type="dxa" w:w="662"/>
            <w:vAlign w:val="top"/>
          </w:tcPr>
          <w:p>
            <w:pPr>
              <w:spacing w:after="20" w:line="240" w:lineRule="auto"/>
            </w:pPr>
            <w:r>
              <w:rPr>
                <w:rFonts w:ascii="Calibri" w:hAnsi="Calibri"/>
                <w:sz w:val="15"/>
              </w:rPr>
              <w:t>Check</w:t>
            </w:r>
          </w:p>
        </w:tc>
        <w:tc>
          <w:tcPr>
            <w:tcW w:type="dxa" w:w="3283"/>
            <w:vAlign w:val="top"/>
          </w:tcPr>
          <w:p>
            <w:pPr>
              <w:spacing w:after="20" w:line="240" w:lineRule="auto"/>
            </w:pPr>
            <w:r>
              <w:rPr>
                <w:rFonts w:ascii="Calibri" w:hAnsi="Calibri"/>
                <w:sz w:val="15"/>
              </w:rPr>
              <w:t>test-invalid-unknown-column.csv</w:t>
            </w:r>
          </w:p>
        </w:tc>
        <w:tc>
          <w:tcPr>
            <w:tcW w:type="dxa" w:w="6394"/>
            <w:vAlign w:val="top"/>
          </w:tcPr>
          <w:p>
            <w:pPr>
              <w:spacing w:after="20" w:line="240" w:lineRule="auto"/>
            </w:pPr>
            <w:r>
              <w:rPr>
                <w:rFonts w:ascii="Calibri" w:hAnsi="Calibri"/>
                <w:sz w:val="15"/>
              </w:rPr>
              <w:t>Use only for preview/rejection testing against kutumb_supporters. It must fail because of its extra column; do not import it.</w:t>
            </w:r>
          </w:p>
        </w:tc>
      </w:tr>
    </w:tbl>
    <w:p>
      <w:pPr>
        <w:spacing w:after="20"/>
      </w:pPr>
    </w:p>
    <w:p>
      <w:r>
        <w:t>The sample IDs are starting examples only. Before importing dependent files, look up the generated IDs in the selected test database and replace the corresponding values. Do not import payment, order, bid, refund, bank, audit, login-token or settlement records from CSV; exercise those through their dedicated workflows. Campaign donations, bids, subscription state and checkout status must come from provider-confirmed sandbox flows.</w:t>
      </w:r>
    </w:p>
    <w:p>
      <w:pPr>
        <w:pStyle w:val="Heading1"/>
      </w:pPr>
      <w:r>
        <w:t>Run record</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trPr>
        <w:tc>
          <w:tcPr>
            <w:tcW w:type="dxa" w:w="2520"/>
            <w:vAlign w:val="center"/>
            <w:shd w:fill="30275C"/>
          </w:tcPr>
          <w:p>
            <w:pPr>
              <w:spacing w:after="0"/>
            </w:pPr>
            <w:r>
              <w:rPr>
                <w:rFonts w:ascii="Calibri" w:hAnsi="Calibri"/>
                <w:b/>
                <w:color w:val="FFFFFF"/>
                <w:sz w:val="16"/>
              </w:rPr>
              <w:t>Environment</w:t>
            </w:r>
          </w:p>
        </w:tc>
        <w:tc>
          <w:tcPr>
            <w:tcW w:type="dxa" w:w="2088"/>
            <w:vAlign w:val="center"/>
            <w:shd w:fill="30275C"/>
          </w:tcPr>
          <w:p>
            <w:pPr>
              <w:spacing w:after="0"/>
            </w:pPr>
            <w:r>
              <w:rPr>
                <w:rFonts w:ascii="Calibri" w:hAnsi="Calibri"/>
                <w:b/>
                <w:color w:val="FFFFFF"/>
                <w:sz w:val="16"/>
              </w:rPr>
              <w:t>Tester</w:t>
            </w:r>
          </w:p>
        </w:tc>
        <w:tc>
          <w:tcPr>
            <w:tcW w:type="dxa" w:w="1656"/>
            <w:vAlign w:val="center"/>
            <w:shd w:fill="30275C"/>
          </w:tcPr>
          <w:p>
            <w:pPr>
              <w:spacing w:after="0"/>
            </w:pPr>
            <w:r>
              <w:rPr>
                <w:rFonts w:ascii="Calibri" w:hAnsi="Calibri"/>
                <w:b/>
                <w:color w:val="FFFFFF"/>
                <w:sz w:val="16"/>
              </w:rPr>
              <w:t>Date</w:t>
            </w:r>
          </w:p>
        </w:tc>
        <w:tc>
          <w:tcPr>
            <w:tcW w:type="dxa" w:w="4075"/>
            <w:vAlign w:val="center"/>
            <w:shd w:fill="30275C"/>
          </w:tcPr>
          <w:p>
            <w:pPr>
              <w:spacing w:after="0"/>
            </w:pPr>
            <w:r>
              <w:rPr>
                <w:rFonts w:ascii="Calibri" w:hAnsi="Calibri"/>
                <w:b/>
                <w:color w:val="FFFFFF"/>
                <w:sz w:val="16"/>
              </w:rPr>
              <w:t>Result and notes</w:t>
            </w:r>
          </w:p>
        </w:tc>
      </w:tr>
      <w:tr>
        <w:tc>
          <w:tcPr>
            <w:tcW w:type="dxa" w:w="2520"/>
            <w:vAlign w:val="top"/>
          </w:tcPr>
          <w:p>
            <w:pPr>
              <w:spacing w:after="20" w:line="240" w:lineRule="auto"/>
            </w:pPr>
            <w:r>
              <w:rPr>
                <w:rFonts w:ascii="Calibri" w:hAnsi="Calibri"/>
                <w:sz w:val="16"/>
              </w:rPr>
            </w:r>
          </w:p>
        </w:tc>
        <w:tc>
          <w:tcPr>
            <w:tcW w:type="dxa" w:w="2088"/>
            <w:vAlign w:val="top"/>
          </w:tcPr>
          <w:p>
            <w:pPr>
              <w:spacing w:after="20" w:line="240" w:lineRule="auto"/>
            </w:pPr>
            <w:r>
              <w:rPr>
                <w:rFonts w:ascii="Calibri" w:hAnsi="Calibri"/>
                <w:sz w:val="16"/>
              </w:rPr>
            </w:r>
          </w:p>
        </w:tc>
        <w:tc>
          <w:tcPr>
            <w:tcW w:type="dxa" w:w="1656"/>
            <w:vAlign w:val="top"/>
          </w:tcPr>
          <w:p>
            <w:pPr>
              <w:spacing w:after="20" w:line="240" w:lineRule="auto"/>
            </w:pPr>
            <w:r>
              <w:rPr>
                <w:rFonts w:ascii="Calibri" w:hAnsi="Calibri"/>
                <w:sz w:val="16"/>
              </w:rPr>
            </w:r>
          </w:p>
        </w:tc>
        <w:tc>
          <w:tcPr>
            <w:tcW w:type="dxa" w:w="4075"/>
            <w:vAlign w:val="top"/>
          </w:tcPr>
          <w:p>
            <w:pPr>
              <w:spacing w:after="20" w:line="240" w:lineRule="auto"/>
            </w:pPr>
            <w:r>
              <w:rPr>
                <w:rFonts w:ascii="Calibri" w:hAnsi="Calibri"/>
                <w:sz w:val="16"/>
              </w:rPr>
            </w:r>
          </w:p>
        </w:tc>
      </w:tr>
    </w:tbl>
    <w:p>
      <w:pPr>
        <w:spacing w:after="20"/>
      </w:pPr>
    </w:p>
    <w:p>
      <w:r>
        <w:t>Record blocked checks with the missing dependency, such as a sandbox webhook, SMTP test sink or verified test organisation. Do not use production credentials or real supporter data for this guide.</w:t>
      </w:r>
    </w:p>
    <w:sectPr w:rsidR="00FC693F" w:rsidRPr="0006063C" w:rsidSect="00034616">
      <w:footerReference w:type="default" r:id="rId9"/>
      <w:pgSz w:w="12240" w:h="15840"/>
      <w:pgMar w:top="835"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A6E"/>
        <w:sz w:val="16"/>
      </w:rPr>
      <w:t>KutumbLink  |  Platform test guide  |  Revised 9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2A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6213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621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2621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KutumbLink Platform Test Guide</dc:title>
  <dc:subject>Website, fundraising workflows and CSV test fixtures</dc:subject>
  <dc:creator>KutumbLink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