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KutumbLink Platform Test Guide</w:t>
      </w:r>
    </w:p>
    <w:p>
      <w:pPr>
        <w:spacing w:after="60"/>
      </w:pPr>
      <w:r>
        <w:rPr>
          <w:b/>
          <w:color w:val="28617F"/>
          <w:sz w:val="26"/>
        </w:rPr>
        <w:t>Step-by-step checks for platform modules and CSV imports</w:t>
      </w:r>
    </w:p>
    <w:p>
      <w:pPr>
        <w:spacing w:after="200"/>
      </w:pPr>
      <w:r>
        <w:rPr>
          <w:color w:val="646E78"/>
          <w:sz w:val="18"/>
        </w:rPr>
        <w:t>Prepared 08 October 2026</w:t>
      </w:r>
    </w:p>
    <w:p>
      <w:r>
        <w:t>Use this guide to check the existing Kutumb journeys and the KutumbLink organisation, fundraising and settlement features. Run the checks against a test database and provider sandbox before using real supporter data or taking live payments. The supplied CSV archive contains fictional sample rows for all 53 platform tables; some tables are deliberately protected from bulk import.</w:t>
      </w:r>
    </w:p>
    <w:p>
      <w:pPr>
        <w:pStyle w:val="Heading1"/>
      </w:pPr>
      <w:r>
        <w:t>Before you begin</w:t>
      </w:r>
    </w:p>
    <w:tbl>
      <w:tblPr>
        <w:tblStyle w:val="TableGrid"/>
        <w:tblW w:type="auto" w:w="0"/>
        <w:jc w:val="center"/>
        <w:tblLayout w:type="fixed"/>
        <w:tblLook w:firstColumn="1" w:firstRow="1" w:lastColumn="0" w:lastRow="0" w:noHBand="0" w:noVBand="1" w:val="04A0"/>
      </w:tblPr>
      <w:tblGrid>
        <w:gridCol w:w="2642"/>
        <w:gridCol w:w="2642"/>
        <w:gridCol w:w="2642"/>
        <w:gridCol w:w="2642"/>
      </w:tblGrid>
      <w:tr>
        <w:trPr>
          <w:tblHeader w:val="true"/>
        </w:trPr>
        <w:tc>
          <w:tcPr>
            <w:tcW w:type="dxa" w:w="691"/>
            <w:vAlign w:val="center"/>
            <w:shd w:fill="183B5B"/>
            <w:tcMar>
              <w:top w:w="120" w:type="dxa"/>
              <w:start w:w="100" w:type="dxa"/>
              <w:bottom w:w="120" w:type="dxa"/>
              <w:end w:w="100" w:type="dxa"/>
            </w:tcMar>
          </w:tcPr>
          <w:p>
            <w:pPr>
              <w:spacing w:after="0"/>
            </w:pPr>
            <w:r>
              <w:rPr>
                <w:rFonts w:ascii="Calibri" w:hAnsi="Calibri"/>
                <w:b/>
                <w:color w:val="FFFFFF"/>
                <w:sz w:val="16"/>
              </w:rPr>
              <w:t>Step</w:t>
            </w:r>
          </w:p>
        </w:tc>
        <w:tc>
          <w:tcPr>
            <w:tcW w:type="dxa" w:w="1843"/>
            <w:vAlign w:val="center"/>
            <w:shd w:fill="183B5B"/>
            <w:tcMar>
              <w:top w:w="120" w:type="dxa"/>
              <w:start w:w="100" w:type="dxa"/>
              <w:bottom w:w="120" w:type="dxa"/>
              <w:end w:w="100" w:type="dxa"/>
            </w:tcMar>
          </w:tcPr>
          <w:p>
            <w:pPr>
              <w:spacing w:after="0"/>
            </w:pPr>
            <w:r>
              <w:rPr>
                <w:rFonts w:ascii="Calibri" w:hAnsi="Calibri"/>
                <w:b/>
                <w:color w:val="FFFFFF"/>
                <w:sz w:val="16"/>
              </w:rPr>
              <w:t>Task</w:t>
            </w:r>
          </w:p>
        </w:tc>
        <w:tc>
          <w:tcPr>
            <w:tcW w:type="dxa" w:w="4392"/>
            <w:vAlign w:val="center"/>
            <w:shd w:fill="183B5B"/>
            <w:tcMar>
              <w:top w:w="120" w:type="dxa"/>
              <w:start w:w="100" w:type="dxa"/>
              <w:bottom w:w="120" w:type="dxa"/>
              <w:end w:w="100" w:type="dxa"/>
            </w:tcMar>
          </w:tcPr>
          <w:p>
            <w:pPr>
              <w:spacing w:after="0"/>
            </w:pPr>
            <w:r>
              <w:rPr>
                <w:rFonts w:ascii="Calibri" w:hAnsi="Calibri"/>
                <w:b/>
                <w:color w:val="FFFFFF"/>
                <w:sz w:val="16"/>
              </w:rPr>
              <w:t>What to do</w:t>
            </w:r>
          </w:p>
        </w:tc>
        <w:tc>
          <w:tcPr>
            <w:tcW w:type="dxa" w:w="3672"/>
            <w:vAlign w:val="center"/>
            <w:shd w:fill="183B5B"/>
            <w:tcMar>
              <w:top w:w="120" w:type="dxa"/>
              <w:start w:w="100" w:type="dxa"/>
              <w:bottom w:w="120" w:type="dxa"/>
              <w:end w:w="100" w:type="dxa"/>
            </w:tcMar>
          </w:tcPr>
          <w:p>
            <w:pPr>
              <w:spacing w:after="0"/>
            </w:pPr>
            <w:r>
              <w:rPr>
                <w:rFonts w:ascii="Calibri" w:hAnsi="Calibri"/>
                <w:b/>
                <w:color w:val="FFFFFF"/>
                <w:sz w:val="16"/>
              </w:rPr>
              <w:t>Expected result</w:t>
            </w:r>
          </w:p>
        </w:tc>
      </w:tr>
      <w:tr>
        <w:trPr>
          <w:cantSplit/>
        </w:trPr>
        <w:tc>
          <w:tcPr>
            <w:tcW w:type="dxa" w:w="691"/>
            <w:vAlign w:val="top"/>
            <w:tcMar>
              <w:top w:w="90" w:type="dxa"/>
              <w:start w:w="90" w:type="dxa"/>
              <w:bottom w:w="90" w:type="dxa"/>
              <w:end w:w="90" w:type="dxa"/>
            </w:tcMar>
          </w:tcPr>
          <w:p>
            <w:pPr>
              <w:spacing w:after="0" w:line="252" w:lineRule="auto"/>
            </w:pPr>
            <w:r>
              <w:rPr>
                <w:rFonts w:ascii="Calibri" w:hAnsi="Calibri"/>
                <w:color w:val="2A343E"/>
                <w:sz w:val="16"/>
              </w:rPr>
              <w:t>1</w:t>
            </w:r>
          </w:p>
        </w:tc>
        <w:tc>
          <w:tcPr>
            <w:tcW w:type="dxa" w:w="1843"/>
            <w:vAlign w:val="top"/>
            <w:tcMar>
              <w:top w:w="90" w:type="dxa"/>
              <w:start w:w="90" w:type="dxa"/>
              <w:bottom w:w="90" w:type="dxa"/>
              <w:end w:w="90" w:type="dxa"/>
            </w:tcMar>
          </w:tcPr>
          <w:p>
            <w:pPr>
              <w:spacing w:after="0" w:line="252" w:lineRule="auto"/>
            </w:pPr>
            <w:r>
              <w:rPr>
                <w:rFonts w:ascii="Calibri" w:hAnsi="Calibri"/>
                <w:color w:val="2A343E"/>
                <w:sz w:val="16"/>
              </w:rPr>
              <w:t>Prepare a safe environment</w:t>
            </w:r>
          </w:p>
        </w:tc>
        <w:tc>
          <w:tcPr>
            <w:tcW w:type="dxa" w:w="4392"/>
            <w:vAlign w:val="top"/>
            <w:tcMar>
              <w:top w:w="90" w:type="dxa"/>
              <w:start w:w="90" w:type="dxa"/>
              <w:bottom w:w="90" w:type="dxa"/>
              <w:end w:w="90" w:type="dxa"/>
            </w:tcMar>
          </w:tcPr>
          <w:p>
            <w:pPr>
              <w:spacing w:after="0" w:line="252" w:lineRule="auto"/>
            </w:pPr>
            <w:r>
              <w:rPr>
                <w:rFonts w:ascii="Calibri" w:hAnsi="Calibri"/>
                <w:color w:val="2A343E"/>
                <w:sz w:val="16"/>
              </w:rPr>
              <w:t>Extract the Kutumb-main folder, install the supported Node.js version, configure PostgreSQL in .env, then double-click app.cmd.</w:t>
            </w:r>
          </w:p>
        </w:tc>
        <w:tc>
          <w:tcPr>
            <w:tcW w:type="dxa" w:w="3672"/>
            <w:vAlign w:val="top"/>
            <w:tcMar>
              <w:top w:w="90" w:type="dxa"/>
              <w:start w:w="90" w:type="dxa"/>
              <w:bottom w:w="90" w:type="dxa"/>
              <w:end w:w="90" w:type="dxa"/>
            </w:tcMar>
          </w:tcPr>
          <w:p>
            <w:pPr>
              <w:spacing w:after="0" w:line="252" w:lineRule="auto"/>
            </w:pPr>
            <w:r>
              <w:rPr>
                <w:rFonts w:ascii="Calibri" w:hAnsi="Calibri"/>
                <w:color w:val="2A343E"/>
                <w:sz w:val="16"/>
              </w:rPr>
              <w:t>The launcher applies the database schema, builds the site, starts the server and opens the local website.</w:t>
            </w:r>
          </w:p>
        </w:tc>
      </w:tr>
      <w:tr>
        <w:trPr>
          <w:cantSplit/>
        </w:trPr>
        <w:tc>
          <w:tcPr>
            <w:tcW w:type="dxa" w:w="691"/>
            <w:vAlign w:val="top"/>
            <w:tcMar>
              <w:top w:w="90" w:type="dxa"/>
              <w:start w:w="90" w:type="dxa"/>
              <w:bottom w:w="90" w:type="dxa"/>
              <w:end w:w="90" w:type="dxa"/>
            </w:tcMar>
            <w:shd w:fill="F1F5F8"/>
          </w:tcPr>
          <w:p>
            <w:pPr>
              <w:spacing w:after="0" w:line="252" w:lineRule="auto"/>
            </w:pPr>
            <w:r>
              <w:rPr>
                <w:rFonts w:ascii="Calibri" w:hAnsi="Calibri"/>
                <w:color w:val="2A343E"/>
                <w:sz w:val="16"/>
              </w:rPr>
              <w:t>2</w:t>
            </w:r>
          </w:p>
        </w:tc>
        <w:tc>
          <w:tcPr>
            <w:tcW w:type="dxa" w:w="1843"/>
            <w:vAlign w:val="top"/>
            <w:tcMar>
              <w:top w:w="90" w:type="dxa"/>
              <w:start w:w="90" w:type="dxa"/>
              <w:bottom w:w="90" w:type="dxa"/>
              <w:end w:w="90" w:type="dxa"/>
            </w:tcMar>
            <w:shd w:fill="F1F5F8"/>
          </w:tcPr>
          <w:p>
            <w:pPr>
              <w:spacing w:after="0" w:line="252" w:lineRule="auto"/>
            </w:pPr>
            <w:r>
              <w:rPr>
                <w:rFonts w:ascii="Calibri" w:hAnsi="Calibri"/>
                <w:color w:val="2A343E"/>
                <w:sz w:val="16"/>
              </w:rPr>
              <w:t>Create a recoverable test database</w:t>
            </w:r>
          </w:p>
        </w:tc>
        <w:tc>
          <w:tcPr>
            <w:tcW w:type="dxa" w:w="4392"/>
            <w:vAlign w:val="top"/>
            <w:tcMar>
              <w:top w:w="90" w:type="dxa"/>
              <w:start w:w="90" w:type="dxa"/>
              <w:bottom w:w="90" w:type="dxa"/>
              <w:end w:w="90" w:type="dxa"/>
            </w:tcMar>
            <w:shd w:fill="F1F5F8"/>
          </w:tcPr>
          <w:p>
            <w:pPr>
              <w:spacing w:after="0" w:line="252" w:lineRule="auto"/>
            </w:pPr>
            <w:r>
              <w:rPr>
                <w:rFonts w:ascii="Calibri" w:hAnsi="Calibri"/>
                <w:color w:val="2A343E"/>
                <w:sz w:val="16"/>
              </w:rPr>
              <w:t>Use a separate empty or disposable database and keep a backup before importing sample records.</w:t>
            </w:r>
          </w:p>
        </w:tc>
        <w:tc>
          <w:tcPr>
            <w:tcW w:type="dxa" w:w="3672"/>
            <w:vAlign w:val="top"/>
            <w:tcMar>
              <w:top w:w="90" w:type="dxa"/>
              <w:start w:w="90" w:type="dxa"/>
              <w:bottom w:w="90" w:type="dxa"/>
              <w:end w:w="90" w:type="dxa"/>
            </w:tcMar>
            <w:shd w:fill="F1F5F8"/>
          </w:tcPr>
          <w:p>
            <w:pPr>
              <w:spacing w:after="0" w:line="252" w:lineRule="auto"/>
            </w:pPr>
            <w:r>
              <w:rPr>
                <w:rFonts w:ascii="Calibri" w:hAnsi="Calibri"/>
                <w:color w:val="2A343E"/>
                <w:sz w:val="16"/>
              </w:rPr>
              <w:t>Existing Kutumb production records remain separate from the test run.</w:t>
            </w:r>
          </w:p>
        </w:tc>
      </w:tr>
      <w:tr>
        <w:trPr>
          <w:cantSplit/>
        </w:trPr>
        <w:tc>
          <w:tcPr>
            <w:tcW w:type="dxa" w:w="691"/>
            <w:vAlign w:val="top"/>
            <w:tcMar>
              <w:top w:w="90" w:type="dxa"/>
              <w:start w:w="90" w:type="dxa"/>
              <w:bottom w:w="90" w:type="dxa"/>
              <w:end w:w="90" w:type="dxa"/>
            </w:tcMar>
          </w:tcPr>
          <w:p>
            <w:pPr>
              <w:spacing w:after="0" w:line="252" w:lineRule="auto"/>
            </w:pPr>
            <w:r>
              <w:rPr>
                <w:rFonts w:ascii="Calibri" w:hAnsi="Calibri"/>
                <w:color w:val="2A343E"/>
                <w:sz w:val="16"/>
              </w:rPr>
              <w:t>3</w:t>
            </w:r>
          </w:p>
        </w:tc>
        <w:tc>
          <w:tcPr>
            <w:tcW w:type="dxa" w:w="1843"/>
            <w:vAlign w:val="top"/>
            <w:tcMar>
              <w:top w:w="90" w:type="dxa"/>
              <w:start w:w="90" w:type="dxa"/>
              <w:bottom w:w="90" w:type="dxa"/>
              <w:end w:w="90" w:type="dxa"/>
            </w:tcMar>
          </w:tcPr>
          <w:p>
            <w:pPr>
              <w:spacing w:after="0" w:line="252" w:lineRule="auto"/>
            </w:pPr>
            <w:r>
              <w:rPr>
                <w:rFonts w:ascii="Calibri" w:hAnsi="Calibri"/>
                <w:color w:val="2A343E"/>
                <w:sz w:val="16"/>
              </w:rPr>
              <w:t>Sign in as platform administrator</w:t>
            </w:r>
          </w:p>
        </w:tc>
        <w:tc>
          <w:tcPr>
            <w:tcW w:type="dxa" w:w="4392"/>
            <w:vAlign w:val="top"/>
            <w:tcMar>
              <w:top w:w="90" w:type="dxa"/>
              <w:start w:w="90" w:type="dxa"/>
              <w:bottom w:w="90" w:type="dxa"/>
              <w:end w:w="90" w:type="dxa"/>
            </w:tcMar>
          </w:tcPr>
          <w:p>
            <w:pPr>
              <w:spacing w:after="0" w:line="252" w:lineRule="auto"/>
            </w:pPr>
            <w:r>
              <w:rPr>
                <w:rFonts w:ascii="Calibri" w:hAnsi="Calibri"/>
                <w:color w:val="2A343E"/>
                <w:sz w:val="16"/>
              </w:rPr>
              <w:t>Use the configured ADMIN_EMAIL and ADMIN_PASSWORD. Change the initial password before a production deployment.</w:t>
            </w:r>
          </w:p>
        </w:tc>
        <w:tc>
          <w:tcPr>
            <w:tcW w:type="dxa" w:w="3672"/>
            <w:vAlign w:val="top"/>
            <w:tcMar>
              <w:top w:w="90" w:type="dxa"/>
              <w:start w:w="90" w:type="dxa"/>
              <w:bottom w:w="90" w:type="dxa"/>
              <w:end w:w="90" w:type="dxa"/>
            </w:tcMar>
          </w:tcPr>
          <w:p>
            <w:pPr>
              <w:spacing w:after="0" w:line="252" w:lineRule="auto"/>
            </w:pPr>
            <w:r>
              <w:rPr>
                <w:rFonts w:ascii="Calibri" w:hAnsi="Calibri"/>
                <w:color w:val="2A343E"/>
                <w:sz w:val="16"/>
              </w:rPr>
              <w:t>The admin console opens and shows the tabs allowed for that account.</w:t>
            </w:r>
          </w:p>
        </w:tc>
      </w:tr>
      <w:tr>
        <w:trPr>
          <w:cantSplit/>
        </w:trPr>
        <w:tc>
          <w:tcPr>
            <w:tcW w:type="dxa" w:w="691"/>
            <w:vAlign w:val="top"/>
            <w:tcMar>
              <w:top w:w="90" w:type="dxa"/>
              <w:start w:w="90" w:type="dxa"/>
              <w:bottom w:w="90" w:type="dxa"/>
              <w:end w:w="90" w:type="dxa"/>
            </w:tcMar>
            <w:shd w:fill="F1F5F8"/>
          </w:tcPr>
          <w:p>
            <w:pPr>
              <w:spacing w:after="0" w:line="252" w:lineRule="auto"/>
            </w:pPr>
            <w:r>
              <w:rPr>
                <w:rFonts w:ascii="Calibri" w:hAnsi="Calibri"/>
                <w:color w:val="2A343E"/>
                <w:sz w:val="16"/>
              </w:rPr>
              <w:t>4</w:t>
            </w:r>
          </w:p>
        </w:tc>
        <w:tc>
          <w:tcPr>
            <w:tcW w:type="dxa" w:w="1843"/>
            <w:vAlign w:val="top"/>
            <w:tcMar>
              <w:top w:w="90" w:type="dxa"/>
              <w:start w:w="90" w:type="dxa"/>
              <w:bottom w:w="90" w:type="dxa"/>
              <w:end w:w="90" w:type="dxa"/>
            </w:tcMar>
            <w:shd w:fill="F1F5F8"/>
          </w:tcPr>
          <w:p>
            <w:pPr>
              <w:spacing w:after="0" w:line="252" w:lineRule="auto"/>
            </w:pPr>
            <w:r>
              <w:rPr>
                <w:rFonts w:ascii="Calibri" w:hAnsi="Calibri"/>
                <w:color w:val="2A343E"/>
                <w:sz w:val="16"/>
              </w:rPr>
              <w:t>Configure payment sandbox</w:t>
            </w:r>
          </w:p>
        </w:tc>
        <w:tc>
          <w:tcPr>
            <w:tcW w:type="dxa" w:w="4392"/>
            <w:vAlign w:val="top"/>
            <w:tcMar>
              <w:top w:w="90" w:type="dxa"/>
              <w:start w:w="90" w:type="dxa"/>
              <w:bottom w:w="90" w:type="dxa"/>
              <w:end w:w="90" w:type="dxa"/>
            </w:tcMar>
            <w:shd w:fill="F1F5F8"/>
          </w:tcPr>
          <w:p>
            <w:pPr>
              <w:spacing w:after="0" w:line="252" w:lineRule="auto"/>
            </w:pPr>
            <w:r>
              <w:rPr>
                <w:rFonts w:ascii="Calibri" w:hAnsi="Calibri"/>
                <w:color w:val="2A343E"/>
                <w:sz w:val="16"/>
              </w:rPr>
              <w:t>Set test-mode provider credentials and webhook details in Settings. Use provider test cards and test accounts only.</w:t>
            </w:r>
          </w:p>
        </w:tc>
        <w:tc>
          <w:tcPr>
            <w:tcW w:type="dxa" w:w="3672"/>
            <w:vAlign w:val="top"/>
            <w:tcMar>
              <w:top w:w="90" w:type="dxa"/>
              <w:start w:w="90" w:type="dxa"/>
              <w:bottom w:w="90" w:type="dxa"/>
              <w:end w:w="90" w:type="dxa"/>
            </w:tcMar>
            <w:shd w:fill="F1F5F8"/>
          </w:tcPr>
          <w:p>
            <w:pPr>
              <w:spacing w:after="0" w:line="252" w:lineRule="auto"/>
            </w:pPr>
            <w:r>
              <w:rPr>
                <w:rFonts w:ascii="Calibri" w:hAnsi="Calibri"/>
                <w:color w:val="2A343E"/>
                <w:sz w:val="16"/>
              </w:rPr>
              <w:t>Test transactions return to the local app and can be reconciled without moving real money.</w:t>
            </w:r>
          </w:p>
        </w:tc>
      </w:tr>
      <w:tr>
        <w:trPr>
          <w:cantSplit/>
        </w:trPr>
        <w:tc>
          <w:tcPr>
            <w:tcW w:type="dxa" w:w="691"/>
            <w:vAlign w:val="top"/>
            <w:tcMar>
              <w:top w:w="90" w:type="dxa"/>
              <w:start w:w="90" w:type="dxa"/>
              <w:bottom w:w="90" w:type="dxa"/>
              <w:end w:w="90" w:type="dxa"/>
            </w:tcMar>
          </w:tcPr>
          <w:p>
            <w:pPr>
              <w:spacing w:after="0" w:line="252" w:lineRule="auto"/>
            </w:pPr>
            <w:r>
              <w:rPr>
                <w:rFonts w:ascii="Calibri" w:hAnsi="Calibri"/>
                <w:color w:val="2A343E"/>
                <w:sz w:val="16"/>
              </w:rPr>
              <w:t>5</w:t>
            </w:r>
          </w:p>
        </w:tc>
        <w:tc>
          <w:tcPr>
            <w:tcW w:type="dxa" w:w="1843"/>
            <w:vAlign w:val="top"/>
            <w:tcMar>
              <w:top w:w="90" w:type="dxa"/>
              <w:start w:w="90" w:type="dxa"/>
              <w:bottom w:w="90" w:type="dxa"/>
              <w:end w:w="90" w:type="dxa"/>
            </w:tcMar>
          </w:tcPr>
          <w:p>
            <w:pPr>
              <w:spacing w:after="0" w:line="252" w:lineRule="auto"/>
            </w:pPr>
            <w:r>
              <w:rPr>
                <w:rFonts w:ascii="Calibri" w:hAnsi="Calibri"/>
                <w:color w:val="2A343E"/>
                <w:sz w:val="16"/>
              </w:rPr>
              <w:t>Prepare test identities</w:t>
            </w:r>
          </w:p>
        </w:tc>
        <w:tc>
          <w:tcPr>
            <w:tcW w:type="dxa" w:w="4392"/>
            <w:vAlign w:val="top"/>
            <w:tcMar>
              <w:top w:w="90" w:type="dxa"/>
              <w:start w:w="90" w:type="dxa"/>
              <w:bottom w:w="90" w:type="dxa"/>
              <w:end w:w="90" w:type="dxa"/>
            </w:tcMar>
          </w:tcPr>
          <w:p>
            <w:pPr>
              <w:spacing w:after="0" w:line="252" w:lineRule="auto"/>
            </w:pPr>
            <w:r>
              <w:rPr>
                <w:rFonts w:ascii="Calibri" w:hAnsi="Calibri"/>
                <w:color w:val="2A343E"/>
                <w:sz w:val="16"/>
              </w:rPr>
              <w:t>Use email addresses at example.org and a separate charity user for tenant-isolation checks.</w:t>
            </w:r>
          </w:p>
        </w:tc>
        <w:tc>
          <w:tcPr>
            <w:tcW w:type="dxa" w:w="3672"/>
            <w:vAlign w:val="top"/>
            <w:tcMar>
              <w:top w:w="90" w:type="dxa"/>
              <w:start w:w="90" w:type="dxa"/>
              <w:bottom w:w="90" w:type="dxa"/>
              <w:end w:w="90" w:type="dxa"/>
            </w:tcMar>
          </w:tcPr>
          <w:p>
            <w:pPr>
              <w:spacing w:after="0" w:line="252" w:lineRule="auto"/>
            </w:pPr>
            <w:r>
              <w:rPr>
                <w:rFonts w:ascii="Calibri" w:hAnsi="Calibri"/>
                <w:color w:val="2A343E"/>
                <w:sz w:val="16"/>
              </w:rPr>
              <w:t>Emails are fictional and cannot accidentally contact real supporters.</w:t>
            </w:r>
          </w:p>
        </w:tc>
      </w:tr>
    </w:tbl>
    <w:p>
      <w:pPr>
        <w:pStyle w:val="Heading1"/>
      </w:pPr>
      <w:r>
        <w:t>Capability test checklist</w:t>
      </w:r>
    </w:p>
    <w:p>
      <w:r>
        <w:t>Complete the steps in order where one module creates records used by a later module. Record the date, tester, environment and outcome in your own test log. Some provider, email, WhatsApp and bank-feed checks need credentials and cannot pass until those services are configured.</w:t>
      </w:r>
    </w:p>
    <w:tbl>
      <w:tblPr>
        <w:tblStyle w:val="TableGrid"/>
        <w:tblW w:type="auto" w:w="0"/>
        <w:jc w:val="center"/>
        <w:tblLayout w:type="fixed"/>
        <w:tblLook w:firstColumn="1" w:firstRow="1" w:lastColumn="0" w:lastRow="0" w:noHBand="0" w:noVBand="1" w:val="04A0"/>
      </w:tblPr>
      <w:tblGrid>
        <w:gridCol w:w="2642"/>
        <w:gridCol w:w="2642"/>
        <w:gridCol w:w="2642"/>
        <w:gridCol w:w="2642"/>
      </w:tblGrid>
      <w:tr>
        <w:trPr>
          <w:tblHeader w:val="true"/>
        </w:trPr>
        <w:tc>
          <w:tcPr>
            <w:tcW w:type="dxa" w:w="547"/>
            <w:vAlign w:val="center"/>
            <w:shd w:fill="183B5B"/>
            <w:tcMar>
              <w:top w:w="120" w:type="dxa"/>
              <w:start w:w="100" w:type="dxa"/>
              <w:bottom w:w="120" w:type="dxa"/>
              <w:end w:w="100" w:type="dxa"/>
            </w:tcMar>
          </w:tcPr>
          <w:p>
            <w:pPr>
              <w:spacing w:after="0"/>
            </w:pPr>
            <w:r>
              <w:rPr>
                <w:rFonts w:ascii="Calibri" w:hAnsi="Calibri"/>
                <w:b/>
                <w:color w:val="FFFFFF"/>
                <w:sz w:val="15"/>
              </w:rPr>
              <w:t>No.</w:t>
            </w:r>
          </w:p>
        </w:tc>
        <w:tc>
          <w:tcPr>
            <w:tcW w:type="dxa" w:w="1757"/>
            <w:vAlign w:val="center"/>
            <w:shd w:fill="183B5B"/>
            <w:tcMar>
              <w:top w:w="120" w:type="dxa"/>
              <w:start w:w="100" w:type="dxa"/>
              <w:bottom w:w="120" w:type="dxa"/>
              <w:end w:w="100" w:type="dxa"/>
            </w:tcMar>
          </w:tcPr>
          <w:p>
            <w:pPr>
              <w:spacing w:after="0"/>
            </w:pPr>
            <w:r>
              <w:rPr>
                <w:rFonts w:ascii="Calibri" w:hAnsi="Calibri"/>
                <w:b/>
                <w:color w:val="FFFFFF"/>
                <w:sz w:val="15"/>
              </w:rPr>
              <w:t>Capability</w:t>
            </w:r>
          </w:p>
        </w:tc>
        <w:tc>
          <w:tcPr>
            <w:tcW w:type="dxa" w:w="5112"/>
            <w:vAlign w:val="center"/>
            <w:shd w:fill="183B5B"/>
            <w:tcMar>
              <w:top w:w="120" w:type="dxa"/>
              <w:start w:w="100" w:type="dxa"/>
              <w:bottom w:w="120" w:type="dxa"/>
              <w:end w:w="100" w:type="dxa"/>
            </w:tcMar>
          </w:tcPr>
          <w:p>
            <w:pPr>
              <w:spacing w:after="0"/>
            </w:pPr>
            <w:r>
              <w:rPr>
                <w:rFonts w:ascii="Calibri" w:hAnsi="Calibri"/>
                <w:b/>
                <w:color w:val="FFFFFF"/>
                <w:sz w:val="15"/>
              </w:rPr>
              <w:t>Step-by-step test</w:t>
            </w:r>
          </w:p>
        </w:tc>
        <w:tc>
          <w:tcPr>
            <w:tcW w:type="dxa" w:w="3182"/>
            <w:vAlign w:val="center"/>
            <w:shd w:fill="183B5B"/>
            <w:tcMar>
              <w:top w:w="120" w:type="dxa"/>
              <w:start w:w="100" w:type="dxa"/>
              <w:bottom w:w="120" w:type="dxa"/>
              <w:end w:w="100" w:type="dxa"/>
            </w:tcMar>
          </w:tcPr>
          <w:p>
            <w:pPr>
              <w:spacing w:after="0"/>
            </w:pPr>
            <w:r>
              <w:rPr>
                <w:rFonts w:ascii="Calibri" w:hAnsi="Calibri"/>
                <w:b/>
                <w:color w:val="FFFFFF"/>
                <w:sz w:val="15"/>
              </w:rPr>
              <w:t>Expected result</w:t>
            </w:r>
          </w:p>
        </w:tc>
      </w:tr>
      <w:tr>
        <w:trPr>
          <w:cantSplit/>
        </w:trPr>
        <w:tc>
          <w:tcPr>
            <w:tcW w:type="dxa" w:w="547"/>
            <w:vAlign w:val="top"/>
            <w:tcMar>
              <w:top w:w="90" w:type="dxa"/>
              <w:start w:w="90" w:type="dxa"/>
              <w:bottom w:w="90" w:type="dxa"/>
              <w:end w:w="90" w:type="dxa"/>
            </w:tcMar>
          </w:tcPr>
          <w:p>
            <w:pPr>
              <w:spacing w:after="0" w:line="252" w:lineRule="auto"/>
            </w:pPr>
            <w:r>
              <w:rPr>
                <w:rFonts w:ascii="Calibri" w:hAnsi="Calibri"/>
                <w:color w:val="2A343E"/>
                <w:sz w:val="15"/>
              </w:rPr>
              <w:t>01</w:t>
            </w:r>
          </w:p>
        </w:tc>
        <w:tc>
          <w:tcPr>
            <w:tcW w:type="dxa" w:w="1757"/>
            <w:vAlign w:val="top"/>
            <w:tcMar>
              <w:top w:w="90" w:type="dxa"/>
              <w:start w:w="90" w:type="dxa"/>
              <w:bottom w:w="90" w:type="dxa"/>
              <w:end w:w="90" w:type="dxa"/>
            </w:tcMar>
          </w:tcPr>
          <w:p>
            <w:pPr>
              <w:spacing w:after="0" w:line="252" w:lineRule="auto"/>
            </w:pPr>
            <w:r>
              <w:rPr>
                <w:rFonts w:ascii="Calibri" w:hAnsi="Calibri"/>
                <w:color w:val="2A343E"/>
                <w:sz w:val="15"/>
              </w:rPr>
              <w:t>Website and navigation</w:t>
            </w:r>
          </w:p>
        </w:tc>
        <w:tc>
          <w:tcPr>
            <w:tcW w:type="dxa" w:w="5112"/>
            <w:vAlign w:val="top"/>
            <w:tcMar>
              <w:top w:w="90" w:type="dxa"/>
              <w:start w:w="90" w:type="dxa"/>
              <w:bottom w:w="90" w:type="dxa"/>
              <w:end w:w="90" w:type="dxa"/>
            </w:tcMar>
          </w:tcPr>
          <w:p>
            <w:pPr>
              <w:spacing w:after="0" w:line="252" w:lineRule="auto"/>
            </w:pPr>
            <w:r>
              <w:rPr>
                <w:rFonts w:ascii="Calibri" w:hAnsi="Calibri"/>
                <w:color w:val="2A343E"/>
                <w:sz w:val="15"/>
              </w:rPr>
              <w:t>Open the home page. Use the main menu to open event discovery, charity discovery, fundraising, sign-in and footer links. Repeat at a narrow mobile width.</w:t>
            </w:r>
          </w:p>
        </w:tc>
        <w:tc>
          <w:tcPr>
            <w:tcW w:type="dxa" w:w="3182"/>
            <w:vAlign w:val="top"/>
            <w:tcMar>
              <w:top w:w="90" w:type="dxa"/>
              <w:start w:w="90" w:type="dxa"/>
              <w:bottom w:w="90" w:type="dxa"/>
              <w:end w:w="90" w:type="dxa"/>
            </w:tcMar>
          </w:tcPr>
          <w:p>
            <w:pPr>
              <w:spacing w:after="0" w:line="252" w:lineRule="auto"/>
            </w:pPr>
            <w:r>
              <w:rPr>
                <w:rFonts w:ascii="Calibri" w:hAnsi="Calibri"/>
                <w:color w:val="2A343E"/>
                <w:sz w:val="15"/>
              </w:rPr>
              <w:t>Pages load without broken links; navigation remains usable on a phone.</w:t>
            </w:r>
          </w:p>
        </w:tc>
      </w:tr>
      <w:tr>
        <w:trPr>
          <w:cantSplit/>
        </w:trPr>
        <w:tc>
          <w:tcPr>
            <w:tcW w:type="dxa" w:w="547"/>
            <w:vAlign w:val="top"/>
            <w:tcMar>
              <w:top w:w="90" w:type="dxa"/>
              <w:start w:w="90" w:type="dxa"/>
              <w:bottom w:w="90" w:type="dxa"/>
              <w:end w:w="90" w:type="dxa"/>
            </w:tcMar>
            <w:shd w:fill="F1F5F8"/>
          </w:tcPr>
          <w:p>
            <w:pPr>
              <w:spacing w:after="0" w:line="252" w:lineRule="auto"/>
            </w:pPr>
            <w:r>
              <w:rPr>
                <w:rFonts w:ascii="Calibri" w:hAnsi="Calibri"/>
                <w:color w:val="2A343E"/>
                <w:sz w:val="15"/>
              </w:rPr>
              <w:t>02</w:t>
            </w:r>
          </w:p>
        </w:tc>
        <w:tc>
          <w:tcPr>
            <w:tcW w:type="dxa" w:w="1757"/>
            <w:vAlign w:val="top"/>
            <w:tcMar>
              <w:top w:w="90" w:type="dxa"/>
              <w:start w:w="90" w:type="dxa"/>
              <w:bottom w:w="90" w:type="dxa"/>
              <w:end w:w="90" w:type="dxa"/>
            </w:tcMar>
            <w:shd w:fill="F1F5F8"/>
          </w:tcPr>
          <w:p>
            <w:pPr>
              <w:spacing w:after="0" w:line="252" w:lineRule="auto"/>
            </w:pPr>
            <w:r>
              <w:rPr>
                <w:rFonts w:ascii="Calibri" w:hAnsi="Calibri"/>
                <w:color w:val="2A343E"/>
                <w:sz w:val="15"/>
              </w:rPr>
              <w:t>Admin sign-in and session</w:t>
            </w:r>
          </w:p>
        </w:tc>
        <w:tc>
          <w:tcPr>
            <w:tcW w:type="dxa" w:w="5112"/>
            <w:vAlign w:val="top"/>
            <w:tcMar>
              <w:top w:w="90" w:type="dxa"/>
              <w:start w:w="90" w:type="dxa"/>
              <w:bottom w:w="90" w:type="dxa"/>
              <w:end w:w="90" w:type="dxa"/>
            </w:tcMar>
            <w:shd w:fill="F1F5F8"/>
          </w:tcPr>
          <w:p>
            <w:pPr>
              <w:spacing w:after="0" w:line="252" w:lineRule="auto"/>
            </w:pPr>
            <w:r>
              <w:rPr>
                <w:rFonts w:ascii="Calibri" w:hAnsi="Calibri"/>
                <w:color w:val="2A343E"/>
                <w:sz w:val="15"/>
              </w:rPr>
              <w:t>Sign in with the configured admin account. Refresh the page, open an admin tab, sign out, then try the protected page again. Also try one incorrect password.</w:t>
            </w:r>
          </w:p>
        </w:tc>
        <w:tc>
          <w:tcPr>
            <w:tcW w:type="dxa" w:w="3182"/>
            <w:vAlign w:val="top"/>
            <w:tcMar>
              <w:top w:w="90" w:type="dxa"/>
              <w:start w:w="90" w:type="dxa"/>
              <w:bottom w:w="90" w:type="dxa"/>
              <w:end w:w="90" w:type="dxa"/>
            </w:tcMar>
            <w:shd w:fill="F1F5F8"/>
          </w:tcPr>
          <w:p>
            <w:pPr>
              <w:spacing w:after="0" w:line="252" w:lineRule="auto"/>
            </w:pPr>
            <w:r>
              <w:rPr>
                <w:rFonts w:ascii="Calibri" w:hAnsi="Calibri"/>
                <w:color w:val="2A343E"/>
                <w:sz w:val="15"/>
              </w:rPr>
              <w:t>Correct credentials open the console; incorrect credentials fail; sign-out removes access.</w:t>
            </w:r>
          </w:p>
        </w:tc>
      </w:tr>
      <w:tr>
        <w:trPr>
          <w:cantSplit/>
        </w:trPr>
        <w:tc>
          <w:tcPr>
            <w:tcW w:type="dxa" w:w="547"/>
            <w:vAlign w:val="top"/>
            <w:tcMar>
              <w:top w:w="90" w:type="dxa"/>
              <w:start w:w="90" w:type="dxa"/>
              <w:bottom w:w="90" w:type="dxa"/>
              <w:end w:w="90" w:type="dxa"/>
            </w:tcMar>
          </w:tcPr>
          <w:p>
            <w:pPr>
              <w:spacing w:after="0" w:line="252" w:lineRule="auto"/>
            </w:pPr>
            <w:r>
              <w:rPr>
                <w:rFonts w:ascii="Calibri" w:hAnsi="Calibri"/>
                <w:color w:val="2A343E"/>
                <w:sz w:val="15"/>
              </w:rPr>
              <w:t>03</w:t>
            </w:r>
          </w:p>
        </w:tc>
        <w:tc>
          <w:tcPr>
            <w:tcW w:type="dxa" w:w="1757"/>
            <w:vAlign w:val="top"/>
            <w:tcMar>
              <w:top w:w="90" w:type="dxa"/>
              <w:start w:w="90" w:type="dxa"/>
              <w:bottom w:w="90" w:type="dxa"/>
              <w:end w:w="90" w:type="dxa"/>
            </w:tcMar>
          </w:tcPr>
          <w:p>
            <w:pPr>
              <w:spacing w:after="0" w:line="252" w:lineRule="auto"/>
            </w:pPr>
            <w:r>
              <w:rPr>
                <w:rFonts w:ascii="Calibri" w:hAnsi="Calibri"/>
                <w:color w:val="2A343E"/>
                <w:sz w:val="15"/>
              </w:rPr>
              <w:t>Organisation onboarding</w:t>
            </w:r>
          </w:p>
        </w:tc>
        <w:tc>
          <w:tcPr>
            <w:tcW w:type="dxa" w:w="5112"/>
            <w:vAlign w:val="top"/>
            <w:tcMar>
              <w:top w:w="90" w:type="dxa"/>
              <w:start w:w="90" w:type="dxa"/>
              <w:bottom w:w="90" w:type="dxa"/>
              <w:end w:w="90" w:type="dxa"/>
            </w:tcMar>
          </w:tcPr>
          <w:p>
            <w:pPr>
              <w:spacing w:after="0" w:line="252" w:lineRule="auto"/>
            </w:pPr>
            <w:r>
              <w:rPr>
                <w:rFonts w:ascii="Calibri" w:hAnsi="Calibri"/>
                <w:color w:val="2A343E"/>
                <w:sz w:val="15"/>
              </w:rPr>
              <w:t>As a charity user, open Organisations and create or select an organisation. Save legal/public names and contact details, then continue through the onboarding steps and reload.</w:t>
            </w:r>
          </w:p>
        </w:tc>
        <w:tc>
          <w:tcPr>
            <w:tcW w:type="dxa" w:w="3182"/>
            <w:vAlign w:val="top"/>
            <w:tcMar>
              <w:top w:w="90" w:type="dxa"/>
              <w:start w:w="90" w:type="dxa"/>
              <w:bottom w:w="90" w:type="dxa"/>
              <w:end w:w="90" w:type="dxa"/>
            </w:tcMar>
          </w:tcPr>
          <w:p>
            <w:pPr>
              <w:spacing w:after="0" w:line="252" w:lineRule="auto"/>
            </w:pPr>
            <w:r>
              <w:rPr>
                <w:rFonts w:ascii="Calibri" w:hAnsi="Calibri"/>
                <w:color w:val="2A343E"/>
                <w:sz w:val="15"/>
              </w:rPr>
              <w:t>Draft values persist; the completion indicator and organisation switcher show the saved state.</w:t>
            </w:r>
          </w:p>
        </w:tc>
      </w:tr>
      <w:tr>
        <w:trPr>
          <w:cantSplit/>
        </w:trPr>
        <w:tc>
          <w:tcPr>
            <w:tcW w:type="dxa" w:w="547"/>
            <w:vAlign w:val="top"/>
            <w:tcMar>
              <w:top w:w="90" w:type="dxa"/>
              <w:start w:w="90" w:type="dxa"/>
              <w:bottom w:w="90" w:type="dxa"/>
              <w:end w:w="90" w:type="dxa"/>
            </w:tcMar>
            <w:shd w:fill="F1F5F8"/>
          </w:tcPr>
          <w:p>
            <w:pPr>
              <w:spacing w:after="0" w:line="252" w:lineRule="auto"/>
            </w:pPr>
            <w:r>
              <w:rPr>
                <w:rFonts w:ascii="Calibri" w:hAnsi="Calibri"/>
                <w:color w:val="2A343E"/>
                <w:sz w:val="15"/>
              </w:rPr>
              <w:t>04</w:t>
            </w:r>
          </w:p>
        </w:tc>
        <w:tc>
          <w:tcPr>
            <w:tcW w:type="dxa" w:w="1757"/>
            <w:vAlign w:val="top"/>
            <w:tcMar>
              <w:top w:w="90" w:type="dxa"/>
              <w:start w:w="90" w:type="dxa"/>
              <w:bottom w:w="90" w:type="dxa"/>
              <w:end w:w="90" w:type="dxa"/>
            </w:tcMar>
            <w:shd w:fill="F1F5F8"/>
          </w:tcPr>
          <w:p>
            <w:pPr>
              <w:spacing w:after="0" w:line="252" w:lineRule="auto"/>
            </w:pPr>
            <w:r>
              <w:rPr>
                <w:rFonts w:ascii="Calibri" w:hAnsi="Calibri"/>
                <w:color w:val="2A343E"/>
                <w:sz w:val="15"/>
              </w:rPr>
              <w:t>Charity documents and review</w:t>
            </w:r>
          </w:p>
        </w:tc>
        <w:tc>
          <w:tcPr>
            <w:tcW w:type="dxa" w:w="5112"/>
            <w:vAlign w:val="top"/>
            <w:tcMar>
              <w:top w:w="90" w:type="dxa"/>
              <w:start w:w="90" w:type="dxa"/>
              <w:bottom w:w="90" w:type="dxa"/>
              <w:end w:w="90" w:type="dxa"/>
            </w:tcMar>
            <w:shd w:fill="F1F5F8"/>
          </w:tcPr>
          <w:p>
            <w:pPr>
              <w:spacing w:after="0" w:line="252" w:lineRule="auto"/>
            </w:pPr>
            <w:r>
              <w:rPr>
                <w:rFonts w:ascii="Calibri" w:hAnsi="Calibri"/>
                <w:color w:val="2A343E"/>
                <w:sz w:val="15"/>
              </w:rPr>
              <w:t>Add a document link. As platform admin, open Charity verification, add a review note and request information. Return as the charity, update details and resubmit.</w:t>
            </w:r>
          </w:p>
        </w:tc>
        <w:tc>
          <w:tcPr>
            <w:tcW w:type="dxa" w:w="3182"/>
            <w:vAlign w:val="top"/>
            <w:tcMar>
              <w:top w:w="90" w:type="dxa"/>
              <w:start w:w="90" w:type="dxa"/>
              <w:bottom w:w="90" w:type="dxa"/>
              <w:end w:w="90" w:type="dxa"/>
            </w:tcMar>
            <w:shd w:fill="F1F5F8"/>
          </w:tcPr>
          <w:p>
            <w:pPr>
              <w:spacing w:after="0" w:line="252" w:lineRule="auto"/>
            </w:pPr>
            <w:r>
              <w:rPr>
                <w:rFonts w:ascii="Calibri" w:hAnsi="Calibri"/>
                <w:color w:val="2A343E"/>
                <w:sz w:val="15"/>
              </w:rPr>
              <w:t>The queue shows history and documents; resubmission returns the application to review.</w:t>
            </w:r>
          </w:p>
        </w:tc>
      </w:tr>
      <w:tr>
        <w:trPr>
          <w:cantSplit/>
        </w:trPr>
        <w:tc>
          <w:tcPr>
            <w:tcW w:type="dxa" w:w="547"/>
            <w:vAlign w:val="top"/>
            <w:tcMar>
              <w:top w:w="90" w:type="dxa"/>
              <w:start w:w="90" w:type="dxa"/>
              <w:bottom w:w="90" w:type="dxa"/>
              <w:end w:w="90" w:type="dxa"/>
            </w:tcMar>
          </w:tcPr>
          <w:p>
            <w:pPr>
              <w:spacing w:after="0" w:line="252" w:lineRule="auto"/>
            </w:pPr>
            <w:r>
              <w:rPr>
                <w:rFonts w:ascii="Calibri" w:hAnsi="Calibri"/>
                <w:color w:val="2A343E"/>
                <w:sz w:val="15"/>
              </w:rPr>
              <w:t>05</w:t>
            </w:r>
          </w:p>
        </w:tc>
        <w:tc>
          <w:tcPr>
            <w:tcW w:type="dxa" w:w="1757"/>
            <w:vAlign w:val="top"/>
            <w:tcMar>
              <w:top w:w="90" w:type="dxa"/>
              <w:start w:w="90" w:type="dxa"/>
              <w:bottom w:w="90" w:type="dxa"/>
              <w:end w:w="90" w:type="dxa"/>
            </w:tcMar>
          </w:tcPr>
          <w:p>
            <w:pPr>
              <w:spacing w:after="0" w:line="252" w:lineRule="auto"/>
            </w:pPr>
            <w:r>
              <w:rPr>
                <w:rFonts w:ascii="Calibri" w:hAnsi="Calibri"/>
                <w:color w:val="2A343E"/>
                <w:sz w:val="15"/>
              </w:rPr>
              <w:t>Approve and publish profile</w:t>
            </w:r>
          </w:p>
        </w:tc>
        <w:tc>
          <w:tcPr>
            <w:tcW w:type="dxa" w:w="5112"/>
            <w:vAlign w:val="top"/>
            <w:tcMar>
              <w:top w:w="90" w:type="dxa"/>
              <w:start w:w="90" w:type="dxa"/>
              <w:bottom w:w="90" w:type="dxa"/>
              <w:end w:w="90" w:type="dxa"/>
            </w:tcMar>
          </w:tcPr>
          <w:p>
            <w:pPr>
              <w:spacing w:after="0" w:line="252" w:lineRule="auto"/>
            </w:pPr>
            <w:r>
              <w:rPr>
                <w:rFonts w:ascii="Calibri" w:hAnsi="Calibri"/>
                <w:color w:val="2A343E"/>
                <w:sz w:val="15"/>
              </w:rPr>
              <w:t>Approve a complete test organisation. Open its public charity profile in a private browser window. Check causes, contact details, events and campaign links.</w:t>
            </w:r>
          </w:p>
        </w:tc>
        <w:tc>
          <w:tcPr>
            <w:tcW w:type="dxa" w:w="3182"/>
            <w:vAlign w:val="top"/>
            <w:tcMar>
              <w:top w:w="90" w:type="dxa"/>
              <w:start w:w="90" w:type="dxa"/>
              <w:bottom w:w="90" w:type="dxa"/>
              <w:end w:w="90" w:type="dxa"/>
            </w:tcMar>
          </w:tcPr>
          <w:p>
            <w:pPr>
              <w:spacing w:after="0" w:line="252" w:lineRule="auto"/>
            </w:pPr>
            <w:r>
              <w:rPr>
                <w:rFonts w:ascii="Calibri" w:hAnsi="Calibri"/>
                <w:color w:val="2A343E"/>
                <w:sz w:val="15"/>
              </w:rPr>
              <w:t>Approved public fields display; internal reviewer notes and private documents do not.</w:t>
            </w:r>
          </w:p>
        </w:tc>
      </w:tr>
      <w:tr>
        <w:trPr>
          <w:cantSplit/>
        </w:trPr>
        <w:tc>
          <w:tcPr>
            <w:tcW w:type="dxa" w:w="547"/>
            <w:vAlign w:val="top"/>
            <w:tcMar>
              <w:top w:w="90" w:type="dxa"/>
              <w:start w:w="90" w:type="dxa"/>
              <w:bottom w:w="90" w:type="dxa"/>
              <w:end w:w="90" w:type="dxa"/>
            </w:tcMar>
            <w:shd w:fill="F1F5F8"/>
          </w:tcPr>
          <w:p>
            <w:pPr>
              <w:spacing w:after="0" w:line="252" w:lineRule="auto"/>
            </w:pPr>
            <w:r>
              <w:rPr>
                <w:rFonts w:ascii="Calibri" w:hAnsi="Calibri"/>
                <w:color w:val="2A343E"/>
                <w:sz w:val="15"/>
              </w:rPr>
              <w:t>06</w:t>
            </w:r>
          </w:p>
        </w:tc>
        <w:tc>
          <w:tcPr>
            <w:tcW w:type="dxa" w:w="1757"/>
            <w:vAlign w:val="top"/>
            <w:tcMar>
              <w:top w:w="90" w:type="dxa"/>
              <w:start w:w="90" w:type="dxa"/>
              <w:bottom w:w="90" w:type="dxa"/>
              <w:end w:w="90" w:type="dxa"/>
            </w:tcMar>
            <w:shd w:fill="F1F5F8"/>
          </w:tcPr>
          <w:p>
            <w:pPr>
              <w:spacing w:after="0" w:line="252" w:lineRule="auto"/>
            </w:pPr>
            <w:r>
              <w:rPr>
                <w:rFonts w:ascii="Calibri" w:hAnsi="Calibri"/>
                <w:color w:val="2A343E"/>
                <w:sz w:val="15"/>
              </w:rPr>
              <w:t>Organisation roles and isolation</w:t>
            </w:r>
          </w:p>
        </w:tc>
        <w:tc>
          <w:tcPr>
            <w:tcW w:type="dxa" w:w="5112"/>
            <w:vAlign w:val="top"/>
            <w:tcMar>
              <w:top w:w="90" w:type="dxa"/>
              <w:start w:w="90" w:type="dxa"/>
              <w:bottom w:w="90" w:type="dxa"/>
              <w:end w:w="90" w:type="dxa"/>
            </w:tcMar>
            <w:shd w:fill="F1F5F8"/>
          </w:tcPr>
          <w:p>
            <w:pPr>
              <w:spacing w:after="0" w:line="252" w:lineRule="auto"/>
            </w:pPr>
            <w:r>
              <w:rPr>
                <w:rFonts w:ascii="Calibri" w:hAnsi="Calibri"/>
                <w:color w:val="2A343E"/>
                <w:sz w:val="15"/>
              </w:rPr>
              <w:t>Create or invite users with different roles. Sign in as a user in Charity A and request a Charity B URL/API record using Charity B’s ID. Try a write action with a read-only user.</w:t>
            </w:r>
          </w:p>
        </w:tc>
        <w:tc>
          <w:tcPr>
            <w:tcW w:type="dxa" w:w="3182"/>
            <w:vAlign w:val="top"/>
            <w:tcMar>
              <w:top w:w="90" w:type="dxa"/>
              <w:start w:w="90" w:type="dxa"/>
              <w:bottom w:w="90" w:type="dxa"/>
              <w:end w:w="90" w:type="dxa"/>
            </w:tcMar>
            <w:shd w:fill="F1F5F8"/>
          </w:tcPr>
          <w:p>
            <w:pPr>
              <w:spacing w:after="0" w:line="252" w:lineRule="auto"/>
            </w:pPr>
            <w:r>
              <w:rPr>
                <w:rFonts w:ascii="Calibri" w:hAnsi="Calibri"/>
                <w:color w:val="2A343E"/>
                <w:sz w:val="15"/>
              </w:rPr>
              <w:t>A user sees only their authorised organisation; read-only users cannot make changes.</w:t>
            </w:r>
          </w:p>
        </w:tc>
      </w:tr>
      <w:tr>
        <w:trPr>
          <w:cantSplit/>
        </w:trPr>
        <w:tc>
          <w:tcPr>
            <w:tcW w:type="dxa" w:w="547"/>
            <w:vAlign w:val="top"/>
            <w:tcMar>
              <w:top w:w="90" w:type="dxa"/>
              <w:start w:w="90" w:type="dxa"/>
              <w:bottom w:w="90" w:type="dxa"/>
              <w:end w:w="90" w:type="dxa"/>
            </w:tcMar>
          </w:tcPr>
          <w:p>
            <w:pPr>
              <w:spacing w:after="0" w:line="252" w:lineRule="auto"/>
            </w:pPr>
            <w:r>
              <w:rPr>
                <w:rFonts w:ascii="Calibri" w:hAnsi="Calibri"/>
                <w:color w:val="2A343E"/>
                <w:sz w:val="15"/>
              </w:rPr>
              <w:t>07</w:t>
            </w:r>
          </w:p>
        </w:tc>
        <w:tc>
          <w:tcPr>
            <w:tcW w:type="dxa" w:w="1757"/>
            <w:vAlign w:val="top"/>
            <w:tcMar>
              <w:top w:w="90" w:type="dxa"/>
              <w:start w:w="90" w:type="dxa"/>
              <w:bottom w:w="90" w:type="dxa"/>
              <w:end w:w="90" w:type="dxa"/>
            </w:tcMar>
          </w:tcPr>
          <w:p>
            <w:pPr>
              <w:spacing w:after="0" w:line="252" w:lineRule="auto"/>
            </w:pPr>
            <w:r>
              <w:rPr>
                <w:rFonts w:ascii="Calibri" w:hAnsi="Calibri"/>
                <w:color w:val="2A343E"/>
                <w:sz w:val="15"/>
              </w:rPr>
              <w:t>Organisation switching</w:t>
            </w:r>
          </w:p>
        </w:tc>
        <w:tc>
          <w:tcPr>
            <w:tcW w:type="dxa" w:w="5112"/>
            <w:vAlign w:val="top"/>
            <w:tcMar>
              <w:top w:w="90" w:type="dxa"/>
              <w:start w:w="90" w:type="dxa"/>
              <w:bottom w:w="90" w:type="dxa"/>
              <w:end w:w="90" w:type="dxa"/>
            </w:tcMar>
          </w:tcPr>
          <w:p>
            <w:pPr>
              <w:spacing w:after="0" w:line="252" w:lineRule="auto"/>
            </w:pPr>
            <w:r>
              <w:rPr>
                <w:rFonts w:ascii="Calibri" w:hAnsi="Calibri"/>
                <w:color w:val="2A343E"/>
                <w:sz w:val="15"/>
              </w:rPr>
              <w:t>Assign one test login to two test charities. Use the organisation selector and open the supporter, event and finance tabs for each.</w:t>
            </w:r>
          </w:p>
        </w:tc>
        <w:tc>
          <w:tcPr>
            <w:tcW w:type="dxa" w:w="3182"/>
            <w:vAlign w:val="top"/>
            <w:tcMar>
              <w:top w:w="90" w:type="dxa"/>
              <w:start w:w="90" w:type="dxa"/>
              <w:bottom w:w="90" w:type="dxa"/>
              <w:end w:w="90" w:type="dxa"/>
            </w:tcMar>
          </w:tcPr>
          <w:p>
            <w:pPr>
              <w:spacing w:after="0" w:line="252" w:lineRule="auto"/>
            </w:pPr>
            <w:r>
              <w:rPr>
                <w:rFonts w:ascii="Calibri" w:hAnsi="Calibri"/>
                <w:color w:val="2A343E"/>
                <w:sz w:val="15"/>
              </w:rPr>
              <w:t>The selected charity changes consistently; data from the previous organisation is not shown.</w:t>
            </w:r>
          </w:p>
        </w:tc>
      </w:tr>
      <w:tr>
        <w:trPr>
          <w:cantSplit/>
        </w:trPr>
        <w:tc>
          <w:tcPr>
            <w:tcW w:type="dxa" w:w="547"/>
            <w:vAlign w:val="top"/>
            <w:tcMar>
              <w:top w:w="90" w:type="dxa"/>
              <w:start w:w="90" w:type="dxa"/>
              <w:bottom w:w="90" w:type="dxa"/>
              <w:end w:w="90" w:type="dxa"/>
            </w:tcMar>
            <w:shd w:fill="F1F5F8"/>
          </w:tcPr>
          <w:p>
            <w:pPr>
              <w:spacing w:after="0" w:line="252" w:lineRule="auto"/>
            </w:pPr>
            <w:r>
              <w:rPr>
                <w:rFonts w:ascii="Calibri" w:hAnsi="Calibri"/>
                <w:color w:val="2A343E"/>
                <w:sz w:val="15"/>
              </w:rPr>
              <w:t>08</w:t>
            </w:r>
          </w:p>
        </w:tc>
        <w:tc>
          <w:tcPr>
            <w:tcW w:type="dxa" w:w="1757"/>
            <w:vAlign w:val="top"/>
            <w:tcMar>
              <w:top w:w="90" w:type="dxa"/>
              <w:start w:w="90" w:type="dxa"/>
              <w:bottom w:w="90" w:type="dxa"/>
              <w:end w:w="90" w:type="dxa"/>
            </w:tcMar>
            <w:shd w:fill="F1F5F8"/>
          </w:tcPr>
          <w:p>
            <w:pPr>
              <w:spacing w:after="0" w:line="252" w:lineRule="auto"/>
            </w:pPr>
            <w:r>
              <w:rPr>
                <w:rFonts w:ascii="Calibri" w:hAnsi="Calibri"/>
                <w:color w:val="2A343E"/>
                <w:sz w:val="15"/>
              </w:rPr>
              <w:t>Event creation and publishing</w:t>
            </w:r>
          </w:p>
        </w:tc>
        <w:tc>
          <w:tcPr>
            <w:tcW w:type="dxa" w:w="5112"/>
            <w:vAlign w:val="top"/>
            <w:tcMar>
              <w:top w:w="90" w:type="dxa"/>
              <w:start w:w="90" w:type="dxa"/>
              <w:bottom w:w="90" w:type="dxa"/>
              <w:end w:w="90" w:type="dxa"/>
            </w:tcMar>
            <w:shd w:fill="F1F5F8"/>
          </w:tcPr>
          <w:p>
            <w:pPr>
              <w:spacing w:after="0" w:line="252" w:lineRule="auto"/>
            </w:pPr>
            <w:r>
              <w:rPr>
                <w:rFonts w:ascii="Calibri" w:hAnsi="Calibri"/>
                <w:color w:val="2A343E"/>
                <w:sz w:val="15"/>
              </w:rPr>
              <w:t>Create a test event with a future date and capacity. Save, publish, then view it in event discovery and the charity profile. Edit a description and reload.</w:t>
            </w:r>
          </w:p>
        </w:tc>
        <w:tc>
          <w:tcPr>
            <w:tcW w:type="dxa" w:w="3182"/>
            <w:vAlign w:val="top"/>
            <w:tcMar>
              <w:top w:w="90" w:type="dxa"/>
              <w:start w:w="90" w:type="dxa"/>
              <w:bottom w:w="90" w:type="dxa"/>
              <w:end w:w="90" w:type="dxa"/>
            </w:tcMar>
            <w:shd w:fill="F1F5F8"/>
          </w:tcPr>
          <w:p>
            <w:pPr>
              <w:spacing w:after="0" w:line="252" w:lineRule="auto"/>
            </w:pPr>
            <w:r>
              <w:rPr>
                <w:rFonts w:ascii="Calibri" w:hAnsi="Calibri"/>
                <w:color w:val="2A343E"/>
                <w:sz w:val="15"/>
              </w:rPr>
              <w:t>The event appears publicly when published and changes persist in the organisation workspace.</w:t>
            </w:r>
          </w:p>
        </w:tc>
      </w:tr>
      <w:tr>
        <w:trPr>
          <w:cantSplit/>
        </w:trPr>
        <w:tc>
          <w:tcPr>
            <w:tcW w:type="dxa" w:w="547"/>
            <w:vAlign w:val="top"/>
            <w:tcMar>
              <w:top w:w="90" w:type="dxa"/>
              <w:start w:w="90" w:type="dxa"/>
              <w:bottom w:w="90" w:type="dxa"/>
              <w:end w:w="90" w:type="dxa"/>
            </w:tcMar>
          </w:tcPr>
          <w:p>
            <w:pPr>
              <w:spacing w:after="0" w:line="252" w:lineRule="auto"/>
            </w:pPr>
            <w:r>
              <w:rPr>
                <w:rFonts w:ascii="Calibri" w:hAnsi="Calibri"/>
                <w:color w:val="2A343E"/>
                <w:sz w:val="15"/>
              </w:rPr>
              <w:t>09</w:t>
            </w:r>
          </w:p>
        </w:tc>
        <w:tc>
          <w:tcPr>
            <w:tcW w:type="dxa" w:w="1757"/>
            <w:vAlign w:val="top"/>
            <w:tcMar>
              <w:top w:w="90" w:type="dxa"/>
              <w:start w:w="90" w:type="dxa"/>
              <w:bottom w:w="90" w:type="dxa"/>
              <w:end w:w="90" w:type="dxa"/>
            </w:tcMar>
          </w:tcPr>
          <w:p>
            <w:pPr>
              <w:spacing w:after="0" w:line="252" w:lineRule="auto"/>
            </w:pPr>
            <w:r>
              <w:rPr>
                <w:rFonts w:ascii="Calibri" w:hAnsi="Calibri"/>
                <w:color w:val="2A343E"/>
                <w:sz w:val="15"/>
              </w:rPr>
              <w:t>Ticket types and purchase</w:t>
            </w:r>
          </w:p>
        </w:tc>
        <w:tc>
          <w:tcPr>
            <w:tcW w:type="dxa" w:w="5112"/>
            <w:vAlign w:val="top"/>
            <w:tcMar>
              <w:top w:w="90" w:type="dxa"/>
              <w:start w:w="90" w:type="dxa"/>
              <w:bottom w:w="90" w:type="dxa"/>
              <w:end w:w="90" w:type="dxa"/>
            </w:tcMar>
          </w:tcPr>
          <w:p>
            <w:pPr>
              <w:spacing w:after="0" w:line="252" w:lineRule="auto"/>
            </w:pPr>
            <w:r>
              <w:rPr>
                <w:rFonts w:ascii="Calibri" w:hAnsi="Calibri"/>
                <w:color w:val="2A343E"/>
                <w:sz w:val="15"/>
              </w:rPr>
              <w:t>For a published test event, add ticket types, prices and inventory. Open the public event page, select tickets, enter test buyer details and complete provider sandbox checkout.</w:t>
            </w:r>
          </w:p>
        </w:tc>
        <w:tc>
          <w:tcPr>
            <w:tcW w:type="dxa" w:w="3182"/>
            <w:vAlign w:val="top"/>
            <w:tcMar>
              <w:top w:w="90" w:type="dxa"/>
              <w:start w:w="90" w:type="dxa"/>
              <w:bottom w:w="90" w:type="dxa"/>
              <w:end w:w="90" w:type="dxa"/>
            </w:tcMar>
          </w:tcPr>
          <w:p>
            <w:pPr>
              <w:spacing w:after="0" w:line="252" w:lineRule="auto"/>
            </w:pPr>
            <w:r>
              <w:rPr>
                <w:rFonts w:ascii="Calibri" w:hAnsi="Calibri"/>
                <w:color w:val="2A343E"/>
                <w:sz w:val="15"/>
              </w:rPr>
              <w:t>A confirmed test payment creates one order and the correct number of attendees/tickets.</w:t>
            </w:r>
          </w:p>
        </w:tc>
      </w:tr>
      <w:tr>
        <w:trPr>
          <w:cantSplit/>
        </w:trPr>
        <w:tc>
          <w:tcPr>
            <w:tcW w:type="dxa" w:w="547"/>
            <w:vAlign w:val="top"/>
            <w:tcMar>
              <w:top w:w="90" w:type="dxa"/>
              <w:start w:w="90" w:type="dxa"/>
              <w:bottom w:w="90" w:type="dxa"/>
              <w:end w:w="90" w:type="dxa"/>
            </w:tcMar>
            <w:shd w:fill="F1F5F8"/>
          </w:tcPr>
          <w:p>
            <w:pPr>
              <w:spacing w:after="0" w:line="252" w:lineRule="auto"/>
            </w:pPr>
            <w:r>
              <w:rPr>
                <w:rFonts w:ascii="Calibri" w:hAnsi="Calibri"/>
                <w:color w:val="2A343E"/>
                <w:sz w:val="15"/>
              </w:rPr>
              <w:t>10</w:t>
            </w:r>
          </w:p>
        </w:tc>
        <w:tc>
          <w:tcPr>
            <w:tcW w:type="dxa" w:w="1757"/>
            <w:vAlign w:val="top"/>
            <w:tcMar>
              <w:top w:w="90" w:type="dxa"/>
              <w:start w:w="90" w:type="dxa"/>
              <w:bottom w:w="90" w:type="dxa"/>
              <w:end w:w="90" w:type="dxa"/>
            </w:tcMar>
            <w:shd w:fill="F1F5F8"/>
          </w:tcPr>
          <w:p>
            <w:pPr>
              <w:spacing w:after="0" w:line="252" w:lineRule="auto"/>
            </w:pPr>
            <w:r>
              <w:rPr>
                <w:rFonts w:ascii="Calibri" w:hAnsi="Calibri"/>
                <w:color w:val="2A343E"/>
                <w:sz w:val="15"/>
              </w:rPr>
              <w:t>Coupons, capacity and waitlist</w:t>
            </w:r>
          </w:p>
        </w:tc>
        <w:tc>
          <w:tcPr>
            <w:tcW w:type="dxa" w:w="5112"/>
            <w:vAlign w:val="top"/>
            <w:tcMar>
              <w:top w:w="90" w:type="dxa"/>
              <w:start w:w="90" w:type="dxa"/>
              <w:bottom w:w="90" w:type="dxa"/>
              <w:end w:w="90" w:type="dxa"/>
            </w:tcMar>
            <w:shd w:fill="F1F5F8"/>
          </w:tcPr>
          <w:p>
            <w:pPr>
              <w:spacing w:after="0" w:line="252" w:lineRule="auto"/>
            </w:pPr>
            <w:r>
              <w:rPr>
                <w:rFonts w:ascii="Calibri" w:hAnsi="Calibri"/>
                <w:color w:val="2A343E"/>
                <w:sz w:val="15"/>
              </w:rPr>
              <w:t>Create a test discount code and try it at checkout. Fill the event inventory and join the waitlist with another test email.</w:t>
            </w:r>
          </w:p>
        </w:tc>
        <w:tc>
          <w:tcPr>
            <w:tcW w:type="dxa" w:w="3182"/>
            <w:vAlign w:val="top"/>
            <w:tcMar>
              <w:top w:w="90" w:type="dxa"/>
              <w:start w:w="90" w:type="dxa"/>
              <w:bottom w:w="90" w:type="dxa"/>
              <w:end w:w="90" w:type="dxa"/>
            </w:tcMar>
            <w:shd w:fill="F1F5F8"/>
          </w:tcPr>
          <w:p>
            <w:pPr>
              <w:spacing w:after="0" w:line="252" w:lineRule="auto"/>
            </w:pPr>
            <w:r>
              <w:rPr>
                <w:rFonts w:ascii="Calibri" w:hAnsi="Calibri"/>
                <w:color w:val="2A343E"/>
                <w:sz w:val="15"/>
              </w:rPr>
              <w:t>Valid discounts are applied once; limits are enforced; a full event accepts a waitlist request.</w:t>
            </w:r>
          </w:p>
        </w:tc>
      </w:tr>
      <w:tr>
        <w:trPr>
          <w:cantSplit/>
        </w:trPr>
        <w:tc>
          <w:tcPr>
            <w:tcW w:type="dxa" w:w="547"/>
            <w:vAlign w:val="top"/>
            <w:tcMar>
              <w:top w:w="90" w:type="dxa"/>
              <w:start w:w="90" w:type="dxa"/>
              <w:bottom w:w="90" w:type="dxa"/>
              <w:end w:w="90" w:type="dxa"/>
            </w:tcMar>
          </w:tcPr>
          <w:p>
            <w:pPr>
              <w:spacing w:after="0" w:line="252" w:lineRule="auto"/>
            </w:pPr>
            <w:r>
              <w:rPr>
                <w:rFonts w:ascii="Calibri" w:hAnsi="Calibri"/>
                <w:color w:val="2A343E"/>
                <w:sz w:val="15"/>
              </w:rPr>
              <w:t>11</w:t>
            </w:r>
          </w:p>
        </w:tc>
        <w:tc>
          <w:tcPr>
            <w:tcW w:type="dxa" w:w="1757"/>
            <w:vAlign w:val="top"/>
            <w:tcMar>
              <w:top w:w="90" w:type="dxa"/>
              <w:start w:w="90" w:type="dxa"/>
              <w:bottom w:w="90" w:type="dxa"/>
              <w:end w:w="90" w:type="dxa"/>
            </w:tcMar>
          </w:tcPr>
          <w:p>
            <w:pPr>
              <w:spacing w:after="0" w:line="252" w:lineRule="auto"/>
            </w:pPr>
            <w:r>
              <w:rPr>
                <w:rFonts w:ascii="Calibri" w:hAnsi="Calibri"/>
                <w:color w:val="2A343E"/>
                <w:sz w:val="15"/>
              </w:rPr>
              <w:t>Ticket emails and QR check-in</w:t>
            </w:r>
          </w:p>
        </w:tc>
        <w:tc>
          <w:tcPr>
            <w:tcW w:type="dxa" w:w="5112"/>
            <w:vAlign w:val="top"/>
            <w:tcMar>
              <w:top w:w="90" w:type="dxa"/>
              <w:start w:w="90" w:type="dxa"/>
              <w:bottom w:w="90" w:type="dxa"/>
              <w:end w:w="90" w:type="dxa"/>
            </w:tcMar>
          </w:tcPr>
          <w:p>
            <w:pPr>
              <w:spacing w:after="0" w:line="252" w:lineRule="auto"/>
            </w:pPr>
            <w:r>
              <w:rPr>
                <w:rFonts w:ascii="Calibri" w:hAnsi="Calibri"/>
                <w:color w:val="2A343E"/>
                <w:sz w:val="15"/>
              </w:rPr>
              <w:t>Open the ticket email or order record, scan its QR code in Check-in, then scan it a second time.</w:t>
            </w:r>
          </w:p>
        </w:tc>
        <w:tc>
          <w:tcPr>
            <w:tcW w:type="dxa" w:w="3182"/>
            <w:vAlign w:val="top"/>
            <w:tcMar>
              <w:top w:w="90" w:type="dxa"/>
              <w:start w:w="90" w:type="dxa"/>
              <w:bottom w:w="90" w:type="dxa"/>
              <w:end w:w="90" w:type="dxa"/>
            </w:tcMar>
          </w:tcPr>
          <w:p>
            <w:pPr>
              <w:spacing w:after="0" w:line="252" w:lineRule="auto"/>
            </w:pPr>
            <w:r>
              <w:rPr>
                <w:rFonts w:ascii="Calibri" w:hAnsi="Calibri"/>
                <w:color w:val="2A343E"/>
                <w:sz w:val="15"/>
              </w:rPr>
              <w:t>The first scan records attendance; the duplicate scan is identified and does not create a second check-in.</w:t>
            </w:r>
          </w:p>
        </w:tc>
      </w:tr>
      <w:tr>
        <w:trPr>
          <w:cantSplit/>
        </w:trPr>
        <w:tc>
          <w:tcPr>
            <w:tcW w:type="dxa" w:w="547"/>
            <w:vAlign w:val="top"/>
            <w:tcMar>
              <w:top w:w="90" w:type="dxa"/>
              <w:start w:w="90" w:type="dxa"/>
              <w:bottom w:w="90" w:type="dxa"/>
              <w:end w:w="90" w:type="dxa"/>
            </w:tcMar>
            <w:shd w:fill="F1F5F8"/>
          </w:tcPr>
          <w:p>
            <w:pPr>
              <w:spacing w:after="0" w:line="252" w:lineRule="auto"/>
            </w:pPr>
            <w:r>
              <w:rPr>
                <w:rFonts w:ascii="Calibri" w:hAnsi="Calibri"/>
                <w:color w:val="2A343E"/>
                <w:sz w:val="15"/>
              </w:rPr>
              <w:t>12</w:t>
            </w:r>
          </w:p>
        </w:tc>
        <w:tc>
          <w:tcPr>
            <w:tcW w:type="dxa" w:w="1757"/>
            <w:vAlign w:val="top"/>
            <w:tcMar>
              <w:top w:w="90" w:type="dxa"/>
              <w:start w:w="90" w:type="dxa"/>
              <w:bottom w:w="90" w:type="dxa"/>
              <w:end w:w="90" w:type="dxa"/>
            </w:tcMar>
            <w:shd w:fill="F1F5F8"/>
          </w:tcPr>
          <w:p>
            <w:pPr>
              <w:spacing w:after="0" w:line="252" w:lineRule="auto"/>
            </w:pPr>
            <w:r>
              <w:rPr>
                <w:rFonts w:ascii="Calibri" w:hAnsi="Calibri"/>
                <w:color w:val="2A343E"/>
                <w:sz w:val="15"/>
              </w:rPr>
              <w:t>Donation checkout</w:t>
            </w:r>
          </w:p>
        </w:tc>
        <w:tc>
          <w:tcPr>
            <w:tcW w:type="dxa" w:w="5112"/>
            <w:vAlign w:val="top"/>
            <w:tcMar>
              <w:top w:w="90" w:type="dxa"/>
              <w:start w:w="90" w:type="dxa"/>
              <w:bottom w:w="90" w:type="dxa"/>
              <w:end w:w="90" w:type="dxa"/>
            </w:tcMar>
            <w:shd w:fill="F1F5F8"/>
          </w:tcPr>
          <w:p>
            <w:pPr>
              <w:spacing w:after="0" w:line="252" w:lineRule="auto"/>
            </w:pPr>
            <w:r>
              <w:rPr>
                <w:rFonts w:ascii="Calibri" w:hAnsi="Calibri"/>
                <w:color w:val="2A343E"/>
                <w:sz w:val="15"/>
              </w:rPr>
              <w:t>Open an approved charity campaign with KutumbLink donations enabled. Give a small test amount using the provider sandbox and confirm the return page.</w:t>
            </w:r>
          </w:p>
        </w:tc>
        <w:tc>
          <w:tcPr>
            <w:tcW w:type="dxa" w:w="3182"/>
            <w:vAlign w:val="top"/>
            <w:tcMar>
              <w:top w:w="90" w:type="dxa"/>
              <w:start w:w="90" w:type="dxa"/>
              <w:bottom w:w="90" w:type="dxa"/>
              <w:end w:w="90" w:type="dxa"/>
            </w:tcMar>
            <w:shd w:fill="F1F5F8"/>
          </w:tcPr>
          <w:p>
            <w:pPr>
              <w:spacing w:after="0" w:line="252" w:lineRule="auto"/>
            </w:pPr>
            <w:r>
              <w:rPr>
                <w:rFonts w:ascii="Calibri" w:hAnsi="Calibri"/>
                <w:color w:val="2A343E"/>
                <w:sz w:val="15"/>
              </w:rPr>
              <w:t>The donation is linked to the selected charity/campaign and marked paid only after provider confirmation.</w:t>
            </w:r>
          </w:p>
        </w:tc>
      </w:tr>
      <w:tr>
        <w:trPr>
          <w:cantSplit/>
        </w:trPr>
        <w:tc>
          <w:tcPr>
            <w:tcW w:type="dxa" w:w="547"/>
            <w:vAlign w:val="top"/>
            <w:tcMar>
              <w:top w:w="90" w:type="dxa"/>
              <w:start w:w="90" w:type="dxa"/>
              <w:bottom w:w="90" w:type="dxa"/>
              <w:end w:w="90" w:type="dxa"/>
            </w:tcMar>
          </w:tcPr>
          <w:p>
            <w:pPr>
              <w:spacing w:after="0" w:line="252" w:lineRule="auto"/>
            </w:pPr>
            <w:r>
              <w:rPr>
                <w:rFonts w:ascii="Calibri" w:hAnsi="Calibri"/>
                <w:color w:val="2A343E"/>
                <w:sz w:val="15"/>
              </w:rPr>
              <w:t>13</w:t>
            </w:r>
          </w:p>
        </w:tc>
        <w:tc>
          <w:tcPr>
            <w:tcW w:type="dxa" w:w="1757"/>
            <w:vAlign w:val="top"/>
            <w:tcMar>
              <w:top w:w="90" w:type="dxa"/>
              <w:start w:w="90" w:type="dxa"/>
              <w:bottom w:w="90" w:type="dxa"/>
              <w:end w:w="90" w:type="dxa"/>
            </w:tcMar>
          </w:tcPr>
          <w:p>
            <w:pPr>
              <w:spacing w:after="0" w:line="252" w:lineRule="auto"/>
            </w:pPr>
            <w:r>
              <w:rPr>
                <w:rFonts w:ascii="Calibri" w:hAnsi="Calibri"/>
                <w:color w:val="2A343E"/>
                <w:sz w:val="15"/>
              </w:rPr>
              <w:t>Central account attribution</w:t>
            </w:r>
          </w:p>
        </w:tc>
        <w:tc>
          <w:tcPr>
            <w:tcW w:type="dxa" w:w="5112"/>
            <w:vAlign w:val="top"/>
            <w:tcMar>
              <w:top w:w="90" w:type="dxa"/>
              <w:start w:w="90" w:type="dxa"/>
              <w:bottom w:w="90" w:type="dxa"/>
              <w:end w:w="90" w:type="dxa"/>
            </w:tcMar>
          </w:tcPr>
          <w:p>
            <w:pPr>
              <w:spacing w:after="0" w:line="252" w:lineRule="auto"/>
            </w:pPr>
            <w:r>
              <w:rPr>
                <w:rFonts w:ascii="Calibri" w:hAnsi="Calibri"/>
                <w:color w:val="2A343E"/>
                <w:sz w:val="15"/>
              </w:rPr>
              <w:t>In the platform admin account, open Charity Settlements. Compare the test donation and ticket totals for each charity. Check that a transaction for Charity A is absent from Charity B.</w:t>
            </w:r>
          </w:p>
        </w:tc>
        <w:tc>
          <w:tcPr>
            <w:tcW w:type="dxa" w:w="3182"/>
            <w:vAlign w:val="top"/>
            <w:tcMar>
              <w:top w:w="90" w:type="dxa"/>
              <w:start w:w="90" w:type="dxa"/>
              <w:bottom w:w="90" w:type="dxa"/>
              <w:end w:w="90" w:type="dxa"/>
            </w:tcMar>
          </w:tcPr>
          <w:p>
            <w:pPr>
              <w:spacing w:after="0" w:line="252" w:lineRule="auto"/>
            </w:pPr>
            <w:r>
              <w:rPr>
                <w:rFonts w:ascii="Calibri" w:hAnsi="Calibri"/>
                <w:color w:val="2A343E"/>
                <w:sz w:val="15"/>
              </w:rPr>
              <w:t>Confirmed gross receipts are assigned to the event or donation owner while the configured Kutumb account remains the payment destination.</w:t>
            </w:r>
          </w:p>
        </w:tc>
      </w:tr>
      <w:tr>
        <w:trPr>
          <w:cantSplit/>
        </w:trPr>
        <w:tc>
          <w:tcPr>
            <w:tcW w:type="dxa" w:w="547"/>
            <w:vAlign w:val="top"/>
            <w:tcMar>
              <w:top w:w="90" w:type="dxa"/>
              <w:start w:w="90" w:type="dxa"/>
              <w:bottom w:w="90" w:type="dxa"/>
              <w:end w:w="90" w:type="dxa"/>
            </w:tcMar>
            <w:shd w:fill="F1F5F8"/>
          </w:tcPr>
          <w:p>
            <w:pPr>
              <w:spacing w:after="0" w:line="252" w:lineRule="auto"/>
            </w:pPr>
            <w:r>
              <w:rPr>
                <w:rFonts w:ascii="Calibri" w:hAnsi="Calibri"/>
                <w:color w:val="2A343E"/>
                <w:sz w:val="15"/>
              </w:rPr>
              <w:t>14</w:t>
            </w:r>
          </w:p>
        </w:tc>
        <w:tc>
          <w:tcPr>
            <w:tcW w:type="dxa" w:w="1757"/>
            <w:vAlign w:val="top"/>
            <w:tcMar>
              <w:top w:w="90" w:type="dxa"/>
              <w:start w:w="90" w:type="dxa"/>
              <w:bottom w:w="90" w:type="dxa"/>
              <w:end w:w="90" w:type="dxa"/>
            </w:tcMar>
            <w:shd w:fill="F1F5F8"/>
          </w:tcPr>
          <w:p>
            <w:pPr>
              <w:spacing w:after="0" w:line="252" w:lineRule="auto"/>
            </w:pPr>
            <w:r>
              <w:rPr>
                <w:rFonts w:ascii="Calibri" w:hAnsi="Calibri"/>
                <w:color w:val="2A343E"/>
                <w:sz w:val="15"/>
              </w:rPr>
              <w:t>Manual charity transfer</w:t>
            </w:r>
          </w:p>
        </w:tc>
        <w:tc>
          <w:tcPr>
            <w:tcW w:type="dxa" w:w="5112"/>
            <w:vAlign w:val="top"/>
            <w:tcMar>
              <w:top w:w="90" w:type="dxa"/>
              <w:start w:w="90" w:type="dxa"/>
              <w:bottom w:w="90" w:type="dxa"/>
              <w:end w:w="90" w:type="dxa"/>
            </w:tcMar>
            <w:shd w:fill="F1F5F8"/>
          </w:tcPr>
          <w:p>
            <w:pPr>
              <w:spacing w:after="0" w:line="252" w:lineRule="auto"/>
            </w:pPr>
            <w:r>
              <w:rPr>
                <w:rFonts w:ascii="Calibri" w:hAnsi="Calibri"/>
                <w:color w:val="2A343E"/>
                <w:sz w:val="15"/>
              </w:rPr>
              <w:t>From Charity Settlements, choose a test charity. Try an amount above its available balance, then record a permitted partial transfer with a fake bank reference.</w:t>
            </w:r>
          </w:p>
        </w:tc>
        <w:tc>
          <w:tcPr>
            <w:tcW w:type="dxa" w:w="3182"/>
            <w:vAlign w:val="top"/>
            <w:tcMar>
              <w:top w:w="90" w:type="dxa"/>
              <w:start w:w="90" w:type="dxa"/>
              <w:bottom w:w="90" w:type="dxa"/>
              <w:end w:w="90" w:type="dxa"/>
            </w:tcMar>
            <w:shd w:fill="F1F5F8"/>
          </w:tcPr>
          <w:p>
            <w:pPr>
              <w:spacing w:after="0" w:line="252" w:lineRule="auto"/>
            </w:pPr>
            <w:r>
              <w:rPr>
                <w:rFonts w:ascii="Calibri" w:hAnsi="Calibri"/>
                <w:color w:val="2A343E"/>
                <w:sz w:val="15"/>
              </w:rPr>
              <w:t>The excess transfer is rejected; the permitted transfer reduces the balance and appears in the audit/history.</w:t>
            </w:r>
          </w:p>
        </w:tc>
      </w:tr>
      <w:tr>
        <w:trPr>
          <w:cantSplit/>
        </w:trPr>
        <w:tc>
          <w:tcPr>
            <w:tcW w:type="dxa" w:w="547"/>
            <w:vAlign w:val="top"/>
            <w:tcMar>
              <w:top w:w="90" w:type="dxa"/>
              <w:start w:w="90" w:type="dxa"/>
              <w:bottom w:w="90" w:type="dxa"/>
              <w:end w:w="90" w:type="dxa"/>
            </w:tcMar>
          </w:tcPr>
          <w:p>
            <w:pPr>
              <w:spacing w:after="0" w:line="252" w:lineRule="auto"/>
            </w:pPr>
            <w:r>
              <w:rPr>
                <w:rFonts w:ascii="Calibri" w:hAnsi="Calibri"/>
                <w:color w:val="2A343E"/>
                <w:sz w:val="15"/>
              </w:rPr>
              <w:t>15</w:t>
            </w:r>
          </w:p>
        </w:tc>
        <w:tc>
          <w:tcPr>
            <w:tcW w:type="dxa" w:w="1757"/>
            <w:vAlign w:val="top"/>
            <w:tcMar>
              <w:top w:w="90" w:type="dxa"/>
              <w:start w:w="90" w:type="dxa"/>
              <w:bottom w:w="90" w:type="dxa"/>
              <w:end w:w="90" w:type="dxa"/>
            </w:tcMar>
          </w:tcPr>
          <w:p>
            <w:pPr>
              <w:spacing w:after="0" w:line="252" w:lineRule="auto"/>
            </w:pPr>
            <w:r>
              <w:rPr>
                <w:rFonts w:ascii="Calibri" w:hAnsi="Calibri"/>
                <w:color w:val="2A343E"/>
                <w:sz w:val="15"/>
              </w:rPr>
              <w:t>Charity finance view</w:t>
            </w:r>
          </w:p>
        </w:tc>
        <w:tc>
          <w:tcPr>
            <w:tcW w:type="dxa" w:w="5112"/>
            <w:vAlign w:val="top"/>
            <w:tcMar>
              <w:top w:w="90" w:type="dxa"/>
              <w:start w:w="90" w:type="dxa"/>
              <w:bottom w:w="90" w:type="dxa"/>
              <w:end w:w="90" w:type="dxa"/>
            </w:tcMar>
          </w:tcPr>
          <w:p>
            <w:pPr>
              <w:spacing w:after="0" w:line="252" w:lineRule="auto"/>
            </w:pPr>
            <w:r>
              <w:rPr>
                <w:rFonts w:ascii="Calibri" w:hAnsi="Calibri"/>
                <w:color w:val="2A343E"/>
                <w:sz w:val="15"/>
              </w:rPr>
              <w:t>Sign in as a finance manager for the test charity and open the organisation workspace. Try the settlement URL for another organisation.</w:t>
            </w:r>
          </w:p>
        </w:tc>
        <w:tc>
          <w:tcPr>
            <w:tcW w:type="dxa" w:w="3182"/>
            <w:vAlign w:val="top"/>
            <w:tcMar>
              <w:top w:w="90" w:type="dxa"/>
              <w:start w:w="90" w:type="dxa"/>
              <w:bottom w:w="90" w:type="dxa"/>
              <w:end w:w="90" w:type="dxa"/>
            </w:tcMar>
          </w:tcPr>
          <w:p>
            <w:pPr>
              <w:spacing w:after="0" w:line="252" w:lineRule="auto"/>
            </w:pPr>
            <w:r>
              <w:rPr>
                <w:rFonts w:ascii="Calibri" w:hAnsi="Calibri"/>
                <w:color w:val="2A343E"/>
                <w:sz w:val="15"/>
              </w:rPr>
              <w:t>The finance manager sees their charity’s receipts, refunds, transfers and balance; another charity’s data is denied.</w:t>
            </w:r>
          </w:p>
        </w:tc>
      </w:tr>
      <w:tr>
        <w:trPr>
          <w:cantSplit/>
        </w:trPr>
        <w:tc>
          <w:tcPr>
            <w:tcW w:type="dxa" w:w="547"/>
            <w:vAlign w:val="top"/>
            <w:tcMar>
              <w:top w:w="90" w:type="dxa"/>
              <w:start w:w="90" w:type="dxa"/>
              <w:bottom w:w="90" w:type="dxa"/>
              <w:end w:w="90" w:type="dxa"/>
            </w:tcMar>
            <w:shd w:fill="F1F5F8"/>
          </w:tcPr>
          <w:p>
            <w:pPr>
              <w:spacing w:after="0" w:line="252" w:lineRule="auto"/>
            </w:pPr>
            <w:r>
              <w:rPr>
                <w:rFonts w:ascii="Calibri" w:hAnsi="Calibri"/>
                <w:color w:val="2A343E"/>
                <w:sz w:val="15"/>
              </w:rPr>
              <w:t>16</w:t>
            </w:r>
          </w:p>
        </w:tc>
        <w:tc>
          <w:tcPr>
            <w:tcW w:type="dxa" w:w="1757"/>
            <w:vAlign w:val="top"/>
            <w:tcMar>
              <w:top w:w="90" w:type="dxa"/>
              <w:start w:w="90" w:type="dxa"/>
              <w:bottom w:w="90" w:type="dxa"/>
              <w:end w:w="90" w:type="dxa"/>
            </w:tcMar>
            <w:shd w:fill="F1F5F8"/>
          </w:tcPr>
          <w:p>
            <w:pPr>
              <w:spacing w:after="0" w:line="252" w:lineRule="auto"/>
            </w:pPr>
            <w:r>
              <w:rPr>
                <w:rFonts w:ascii="Calibri" w:hAnsi="Calibri"/>
                <w:color w:val="2A343E"/>
                <w:sz w:val="15"/>
              </w:rPr>
              <w:t>Supporter identity and timeline</w:t>
            </w:r>
          </w:p>
        </w:tc>
        <w:tc>
          <w:tcPr>
            <w:tcW w:type="dxa" w:w="5112"/>
            <w:vAlign w:val="top"/>
            <w:tcMar>
              <w:top w:w="90" w:type="dxa"/>
              <w:start w:w="90" w:type="dxa"/>
              <w:bottom w:w="90" w:type="dxa"/>
              <w:end w:w="90" w:type="dxa"/>
            </w:tcMar>
            <w:shd w:fill="F1F5F8"/>
          </w:tcPr>
          <w:p>
            <w:pPr>
              <w:spacing w:after="0" w:line="252" w:lineRule="auto"/>
            </w:pPr>
            <w:r>
              <w:rPr>
                <w:rFonts w:ascii="Calibri" w:hAnsi="Calibri"/>
                <w:color w:val="2A343E"/>
                <w:sz w:val="15"/>
              </w:rPr>
              <w:t>Register or donate twice using the same test email, attend an event and open Supporters. Review the timeline and try an authorised duplicate merge.</w:t>
            </w:r>
          </w:p>
        </w:tc>
        <w:tc>
          <w:tcPr>
            <w:tcW w:type="dxa" w:w="3182"/>
            <w:vAlign w:val="top"/>
            <w:tcMar>
              <w:top w:w="90" w:type="dxa"/>
              <w:start w:w="90" w:type="dxa"/>
              <w:bottom w:w="90" w:type="dxa"/>
              <w:end w:w="90" w:type="dxa"/>
            </w:tcMar>
            <w:shd w:fill="F1F5F8"/>
          </w:tcPr>
          <w:p>
            <w:pPr>
              <w:spacing w:after="0" w:line="252" w:lineRule="auto"/>
            </w:pPr>
            <w:r>
              <w:rPr>
                <w:rFonts w:ascii="Calibri" w:hAnsi="Calibri"/>
                <w:color w:val="2A343E"/>
                <w:sz w:val="15"/>
              </w:rPr>
              <w:t>Related activity is visible on one charity-scoped profile; merge preserves source records and is audited.</w:t>
            </w:r>
          </w:p>
        </w:tc>
      </w:tr>
      <w:tr>
        <w:trPr>
          <w:cantSplit/>
        </w:trPr>
        <w:tc>
          <w:tcPr>
            <w:tcW w:type="dxa" w:w="547"/>
            <w:vAlign w:val="top"/>
            <w:tcMar>
              <w:top w:w="90" w:type="dxa"/>
              <w:start w:w="90" w:type="dxa"/>
              <w:bottom w:w="90" w:type="dxa"/>
              <w:end w:w="90" w:type="dxa"/>
            </w:tcMar>
          </w:tcPr>
          <w:p>
            <w:pPr>
              <w:spacing w:after="0" w:line="252" w:lineRule="auto"/>
            </w:pPr>
            <w:r>
              <w:rPr>
                <w:rFonts w:ascii="Calibri" w:hAnsi="Calibri"/>
                <w:color w:val="2A343E"/>
                <w:sz w:val="15"/>
              </w:rPr>
              <w:t>17</w:t>
            </w:r>
          </w:p>
        </w:tc>
        <w:tc>
          <w:tcPr>
            <w:tcW w:type="dxa" w:w="1757"/>
            <w:vAlign w:val="top"/>
            <w:tcMar>
              <w:top w:w="90" w:type="dxa"/>
              <w:start w:w="90" w:type="dxa"/>
              <w:bottom w:w="90" w:type="dxa"/>
              <w:end w:w="90" w:type="dxa"/>
            </w:tcMar>
          </w:tcPr>
          <w:p>
            <w:pPr>
              <w:spacing w:after="0" w:line="252" w:lineRule="auto"/>
            </w:pPr>
            <w:r>
              <w:rPr>
                <w:rFonts w:ascii="Calibri" w:hAnsi="Calibri"/>
                <w:color w:val="2A343E"/>
                <w:sz w:val="15"/>
              </w:rPr>
              <w:t>Fundraising pages and teams</w:t>
            </w:r>
          </w:p>
        </w:tc>
        <w:tc>
          <w:tcPr>
            <w:tcW w:type="dxa" w:w="5112"/>
            <w:vAlign w:val="top"/>
            <w:tcMar>
              <w:top w:w="90" w:type="dxa"/>
              <w:start w:w="90" w:type="dxa"/>
              <w:bottom w:w="90" w:type="dxa"/>
              <w:end w:w="90" w:type="dxa"/>
            </w:tcMar>
          </w:tcPr>
          <w:p>
            <w:pPr>
              <w:spacing w:after="0" w:line="252" w:lineRule="auto"/>
            </w:pPr>
            <w:r>
              <w:rPr>
                <w:rFonts w:ascii="Calibri" w:hAnsi="Calibri"/>
                <w:color w:val="2A343E"/>
                <w:sz w:val="15"/>
              </w:rPr>
              <w:t>Publish a test campaign, create a team and submit a personal fundraiser request. Approve it as the charity and view the public page.</w:t>
            </w:r>
          </w:p>
        </w:tc>
        <w:tc>
          <w:tcPr>
            <w:tcW w:type="dxa" w:w="3182"/>
            <w:vAlign w:val="top"/>
            <w:tcMar>
              <w:top w:w="90" w:type="dxa"/>
              <w:start w:w="90" w:type="dxa"/>
              <w:bottom w:w="90" w:type="dxa"/>
              <w:end w:w="90" w:type="dxa"/>
            </w:tcMar>
          </w:tcPr>
          <w:p>
            <w:pPr>
              <w:spacing w:after="0" w:line="252" w:lineRule="auto"/>
            </w:pPr>
            <w:r>
              <w:rPr>
                <w:rFonts w:ascii="Calibri" w:hAnsi="Calibri"/>
                <w:color w:val="2A343E"/>
                <w:sz w:val="15"/>
              </w:rPr>
              <w:t>Campaign/team totals and public links work; a pending fundraiser is not public before approval.</w:t>
            </w:r>
          </w:p>
        </w:tc>
      </w:tr>
      <w:tr>
        <w:trPr>
          <w:cantSplit/>
        </w:trPr>
        <w:tc>
          <w:tcPr>
            <w:tcW w:type="dxa" w:w="547"/>
            <w:vAlign w:val="top"/>
            <w:tcMar>
              <w:top w:w="90" w:type="dxa"/>
              <w:start w:w="90" w:type="dxa"/>
              <w:bottom w:w="90" w:type="dxa"/>
              <w:end w:w="90" w:type="dxa"/>
            </w:tcMar>
            <w:shd w:fill="F1F5F8"/>
          </w:tcPr>
          <w:p>
            <w:pPr>
              <w:spacing w:after="0" w:line="252" w:lineRule="auto"/>
            </w:pPr>
            <w:r>
              <w:rPr>
                <w:rFonts w:ascii="Calibri" w:hAnsi="Calibri"/>
                <w:color w:val="2A343E"/>
                <w:sz w:val="15"/>
              </w:rPr>
              <w:t>18</w:t>
            </w:r>
          </w:p>
        </w:tc>
        <w:tc>
          <w:tcPr>
            <w:tcW w:type="dxa" w:w="1757"/>
            <w:vAlign w:val="top"/>
            <w:tcMar>
              <w:top w:w="90" w:type="dxa"/>
              <w:start w:w="90" w:type="dxa"/>
              <w:bottom w:w="90" w:type="dxa"/>
              <w:end w:w="90" w:type="dxa"/>
            </w:tcMar>
            <w:shd w:fill="F1F5F8"/>
          </w:tcPr>
          <w:p>
            <w:pPr>
              <w:spacing w:after="0" w:line="252" w:lineRule="auto"/>
            </w:pPr>
            <w:r>
              <w:rPr>
                <w:rFonts w:ascii="Calibri" w:hAnsi="Calibri"/>
                <w:color w:val="2A343E"/>
                <w:sz w:val="15"/>
              </w:rPr>
              <w:t>Volunteers and event checklist</w:t>
            </w:r>
          </w:p>
        </w:tc>
        <w:tc>
          <w:tcPr>
            <w:tcW w:type="dxa" w:w="5112"/>
            <w:vAlign w:val="top"/>
            <w:tcMar>
              <w:top w:w="90" w:type="dxa"/>
              <w:start w:w="90" w:type="dxa"/>
              <w:bottom w:w="90" w:type="dxa"/>
              <w:end w:w="90" w:type="dxa"/>
            </w:tcMar>
            <w:shd w:fill="F1F5F8"/>
          </w:tcPr>
          <w:p>
            <w:pPr>
              <w:spacing w:after="0" w:line="252" w:lineRule="auto"/>
            </w:pPr>
            <w:r>
              <w:rPr>
                <w:rFonts w:ascii="Calibri" w:hAnsi="Calibri"/>
                <w:color w:val="2A343E"/>
                <w:sz w:val="15"/>
              </w:rPr>
              <w:t>Submit a public volunteer interest form. As an authorised event user, review it, set a shift and add/check a checklist item.</w:t>
            </w:r>
          </w:p>
        </w:tc>
        <w:tc>
          <w:tcPr>
            <w:tcW w:type="dxa" w:w="3182"/>
            <w:vAlign w:val="top"/>
            <w:tcMar>
              <w:top w:w="90" w:type="dxa"/>
              <w:start w:w="90" w:type="dxa"/>
              <w:bottom w:w="90" w:type="dxa"/>
              <w:end w:w="90" w:type="dxa"/>
            </w:tcMar>
            <w:shd w:fill="F1F5F8"/>
          </w:tcPr>
          <w:p>
            <w:pPr>
              <w:spacing w:after="0" w:line="252" w:lineRule="auto"/>
            </w:pPr>
            <w:r>
              <w:rPr>
                <w:rFonts w:ascii="Calibri" w:hAnsi="Calibri"/>
                <w:color w:val="2A343E"/>
                <w:sz w:val="15"/>
              </w:rPr>
              <w:t>Volunteer contact details remain private to authorised staff; the shift and checklist status persist.</w:t>
            </w:r>
          </w:p>
        </w:tc>
      </w:tr>
      <w:tr>
        <w:trPr>
          <w:cantSplit/>
        </w:trPr>
        <w:tc>
          <w:tcPr>
            <w:tcW w:type="dxa" w:w="547"/>
            <w:vAlign w:val="top"/>
            <w:tcMar>
              <w:top w:w="90" w:type="dxa"/>
              <w:start w:w="90" w:type="dxa"/>
              <w:bottom w:w="90" w:type="dxa"/>
              <w:end w:w="90" w:type="dxa"/>
            </w:tcMar>
          </w:tcPr>
          <w:p>
            <w:pPr>
              <w:spacing w:after="0" w:line="252" w:lineRule="auto"/>
            </w:pPr>
            <w:r>
              <w:rPr>
                <w:rFonts w:ascii="Calibri" w:hAnsi="Calibri"/>
                <w:color w:val="2A343E"/>
                <w:sz w:val="15"/>
              </w:rPr>
              <w:t>19</w:t>
            </w:r>
          </w:p>
        </w:tc>
        <w:tc>
          <w:tcPr>
            <w:tcW w:type="dxa" w:w="1757"/>
            <w:vAlign w:val="top"/>
            <w:tcMar>
              <w:top w:w="90" w:type="dxa"/>
              <w:start w:w="90" w:type="dxa"/>
              <w:bottom w:w="90" w:type="dxa"/>
              <w:end w:w="90" w:type="dxa"/>
            </w:tcMar>
          </w:tcPr>
          <w:p>
            <w:pPr>
              <w:spacing w:after="0" w:line="252" w:lineRule="auto"/>
            </w:pPr>
            <w:r>
              <w:rPr>
                <w:rFonts w:ascii="Calibri" w:hAnsi="Calibri"/>
                <w:color w:val="2A343E"/>
                <w:sz w:val="15"/>
              </w:rPr>
              <w:t>Sponsors, auction and add-ons</w:t>
            </w:r>
          </w:p>
        </w:tc>
        <w:tc>
          <w:tcPr>
            <w:tcW w:type="dxa" w:w="5112"/>
            <w:vAlign w:val="top"/>
            <w:tcMar>
              <w:top w:w="90" w:type="dxa"/>
              <w:start w:w="90" w:type="dxa"/>
              <w:bottom w:w="90" w:type="dxa"/>
              <w:end w:w="90" w:type="dxa"/>
            </w:tcMar>
          </w:tcPr>
          <w:p>
            <w:pPr>
              <w:spacing w:after="0" w:line="252" w:lineRule="auto"/>
            </w:pPr>
            <w:r>
              <w:rPr>
                <w:rFonts w:ascii="Calibri" w:hAnsi="Calibri"/>
                <w:color w:val="2A343E"/>
                <w:sz w:val="15"/>
              </w:rPr>
              <w:t>Create a sponsor package and a test sponsor record; add an auction item and an event add-on. View the event finance summary.</w:t>
            </w:r>
          </w:p>
        </w:tc>
        <w:tc>
          <w:tcPr>
            <w:tcW w:type="dxa" w:w="3182"/>
            <w:vAlign w:val="top"/>
            <w:tcMar>
              <w:top w:w="90" w:type="dxa"/>
              <w:start w:w="90" w:type="dxa"/>
              <w:bottom w:w="90" w:type="dxa"/>
              <w:end w:w="90" w:type="dxa"/>
            </w:tcMar>
          </w:tcPr>
          <w:p>
            <w:pPr>
              <w:spacing w:after="0" w:line="252" w:lineRule="auto"/>
            </w:pPr>
            <w:r>
              <w:rPr>
                <w:rFonts w:ascii="Calibri" w:hAnsi="Calibri"/>
                <w:color w:val="2A343E"/>
                <w:sz w:val="15"/>
              </w:rPr>
              <w:t>Records are associated with the correct organisation and event and appear in the supported summary.</w:t>
            </w:r>
          </w:p>
        </w:tc>
      </w:tr>
      <w:tr>
        <w:trPr>
          <w:cantSplit/>
        </w:trPr>
        <w:tc>
          <w:tcPr>
            <w:tcW w:type="dxa" w:w="547"/>
            <w:vAlign w:val="top"/>
            <w:tcMar>
              <w:top w:w="90" w:type="dxa"/>
              <w:start w:w="90" w:type="dxa"/>
              <w:bottom w:w="90" w:type="dxa"/>
              <w:end w:w="90" w:type="dxa"/>
            </w:tcMar>
            <w:shd w:fill="F1F5F8"/>
          </w:tcPr>
          <w:p>
            <w:pPr>
              <w:spacing w:after="0" w:line="252" w:lineRule="auto"/>
            </w:pPr>
            <w:r>
              <w:rPr>
                <w:rFonts w:ascii="Calibri" w:hAnsi="Calibri"/>
                <w:color w:val="2A343E"/>
                <w:sz w:val="15"/>
              </w:rPr>
              <w:t>20</w:t>
            </w:r>
          </w:p>
        </w:tc>
        <w:tc>
          <w:tcPr>
            <w:tcW w:type="dxa" w:w="1757"/>
            <w:vAlign w:val="top"/>
            <w:tcMar>
              <w:top w:w="90" w:type="dxa"/>
              <w:start w:w="90" w:type="dxa"/>
              <w:bottom w:w="90" w:type="dxa"/>
              <w:end w:w="90" w:type="dxa"/>
            </w:tcMar>
            <w:shd w:fill="F1F5F8"/>
          </w:tcPr>
          <w:p>
            <w:pPr>
              <w:spacing w:after="0" w:line="252" w:lineRule="auto"/>
            </w:pPr>
            <w:r>
              <w:rPr>
                <w:rFonts w:ascii="Calibri" w:hAnsi="Calibri"/>
                <w:color w:val="2A343E"/>
                <w:sz w:val="15"/>
              </w:rPr>
              <w:t>Members and supporter communications</w:t>
            </w:r>
          </w:p>
        </w:tc>
        <w:tc>
          <w:tcPr>
            <w:tcW w:type="dxa" w:w="5112"/>
            <w:vAlign w:val="top"/>
            <w:tcMar>
              <w:top w:w="90" w:type="dxa"/>
              <w:start w:w="90" w:type="dxa"/>
              <w:bottom w:w="90" w:type="dxa"/>
              <w:end w:w="90" w:type="dxa"/>
            </w:tcMar>
            <w:shd w:fill="F1F5F8"/>
          </w:tcPr>
          <w:p>
            <w:pPr>
              <w:spacing w:after="0" w:line="252" w:lineRule="auto"/>
            </w:pPr>
            <w:r>
              <w:rPr>
                <w:rFonts w:ascii="Calibri" w:hAnsi="Calibri"/>
                <w:color w:val="2A343E"/>
                <w:sz w:val="15"/>
              </w:rPr>
              <w:t>Add a test member, update their profile and consent preferences, then check that opted-out addresses are excluded from bulk email.</w:t>
            </w:r>
          </w:p>
        </w:tc>
        <w:tc>
          <w:tcPr>
            <w:tcW w:type="dxa" w:w="3182"/>
            <w:vAlign w:val="top"/>
            <w:tcMar>
              <w:top w:w="90" w:type="dxa"/>
              <w:start w:w="90" w:type="dxa"/>
              <w:bottom w:w="90" w:type="dxa"/>
              <w:end w:w="90" w:type="dxa"/>
            </w:tcMar>
            <w:shd w:fill="F1F5F8"/>
          </w:tcPr>
          <w:p>
            <w:pPr>
              <w:spacing w:after="0" w:line="252" w:lineRule="auto"/>
            </w:pPr>
            <w:r>
              <w:rPr>
                <w:rFonts w:ascii="Calibri" w:hAnsi="Calibri"/>
                <w:color w:val="2A343E"/>
                <w:sz w:val="15"/>
              </w:rPr>
              <w:t>Member records persist; opt-outs are respected by the existing communication workflow.</w:t>
            </w:r>
          </w:p>
        </w:tc>
      </w:tr>
      <w:tr>
        <w:trPr>
          <w:cantSplit/>
        </w:trPr>
        <w:tc>
          <w:tcPr>
            <w:tcW w:type="dxa" w:w="547"/>
            <w:vAlign w:val="top"/>
            <w:tcMar>
              <w:top w:w="90" w:type="dxa"/>
              <w:start w:w="90" w:type="dxa"/>
              <w:bottom w:w="90" w:type="dxa"/>
              <w:end w:w="90" w:type="dxa"/>
            </w:tcMar>
          </w:tcPr>
          <w:p>
            <w:pPr>
              <w:spacing w:after="0" w:line="252" w:lineRule="auto"/>
            </w:pPr>
            <w:r>
              <w:rPr>
                <w:rFonts w:ascii="Calibri" w:hAnsi="Calibri"/>
                <w:color w:val="2A343E"/>
                <w:sz w:val="15"/>
              </w:rPr>
              <w:t>21</w:t>
            </w:r>
          </w:p>
        </w:tc>
        <w:tc>
          <w:tcPr>
            <w:tcW w:type="dxa" w:w="1757"/>
            <w:vAlign w:val="top"/>
            <w:tcMar>
              <w:top w:w="90" w:type="dxa"/>
              <w:start w:w="90" w:type="dxa"/>
              <w:bottom w:w="90" w:type="dxa"/>
              <w:end w:w="90" w:type="dxa"/>
            </w:tcMar>
          </w:tcPr>
          <w:p>
            <w:pPr>
              <w:spacing w:after="0" w:line="252" w:lineRule="auto"/>
            </w:pPr>
            <w:r>
              <w:rPr>
                <w:rFonts w:ascii="Calibri" w:hAnsi="Calibri"/>
                <w:color w:val="2A343E"/>
                <w:sz w:val="15"/>
              </w:rPr>
              <w:t>Bank transactions and reconciliation</w:t>
            </w:r>
          </w:p>
        </w:tc>
        <w:tc>
          <w:tcPr>
            <w:tcW w:type="dxa" w:w="5112"/>
            <w:vAlign w:val="top"/>
            <w:tcMar>
              <w:top w:w="90" w:type="dxa"/>
              <w:start w:w="90" w:type="dxa"/>
              <w:bottom w:w="90" w:type="dxa"/>
              <w:end w:w="90" w:type="dxa"/>
            </w:tcMar>
          </w:tcPr>
          <w:p>
            <w:pPr>
              <w:spacing w:after="0" w:line="252" w:lineRule="auto"/>
            </w:pPr>
            <w:r>
              <w:rPr>
                <w:rFonts w:ascii="Calibri" w:hAnsi="Calibri"/>
                <w:color w:val="2A343E"/>
                <w:sz w:val="15"/>
              </w:rPr>
              <w:t>Import a provider or bank test file using the existing bank workflow. Match a line to a test registration and review the reconciliation report.</w:t>
            </w:r>
          </w:p>
        </w:tc>
        <w:tc>
          <w:tcPr>
            <w:tcW w:type="dxa" w:w="3182"/>
            <w:vAlign w:val="top"/>
            <w:tcMar>
              <w:top w:w="90" w:type="dxa"/>
              <w:start w:w="90" w:type="dxa"/>
              <w:bottom w:w="90" w:type="dxa"/>
              <w:end w:w="90" w:type="dxa"/>
            </w:tcMar>
          </w:tcPr>
          <w:p>
            <w:pPr>
              <w:spacing w:after="0" w:line="252" w:lineRule="auto"/>
            </w:pPr>
            <w:r>
              <w:rPr>
                <w:rFonts w:ascii="Calibri" w:hAnsi="Calibri"/>
                <w:color w:val="2A343E"/>
                <w:sz w:val="15"/>
              </w:rPr>
              <w:t>Imported lines remain auditable; matched items show the expected status and reconciliation totals.</w:t>
            </w:r>
          </w:p>
        </w:tc>
      </w:tr>
      <w:tr>
        <w:trPr>
          <w:cantSplit/>
        </w:trPr>
        <w:tc>
          <w:tcPr>
            <w:tcW w:type="dxa" w:w="547"/>
            <w:vAlign w:val="top"/>
            <w:tcMar>
              <w:top w:w="90" w:type="dxa"/>
              <w:start w:w="90" w:type="dxa"/>
              <w:bottom w:w="90" w:type="dxa"/>
              <w:end w:w="90" w:type="dxa"/>
            </w:tcMar>
            <w:shd w:fill="F1F5F8"/>
          </w:tcPr>
          <w:p>
            <w:pPr>
              <w:spacing w:after="0" w:line="252" w:lineRule="auto"/>
            </w:pPr>
            <w:r>
              <w:rPr>
                <w:rFonts w:ascii="Calibri" w:hAnsi="Calibri"/>
                <w:color w:val="2A343E"/>
                <w:sz w:val="15"/>
              </w:rPr>
              <w:t>22</w:t>
            </w:r>
          </w:p>
        </w:tc>
        <w:tc>
          <w:tcPr>
            <w:tcW w:type="dxa" w:w="1757"/>
            <w:vAlign w:val="top"/>
            <w:tcMar>
              <w:top w:w="90" w:type="dxa"/>
              <w:start w:w="90" w:type="dxa"/>
              <w:bottom w:w="90" w:type="dxa"/>
              <w:end w:w="90" w:type="dxa"/>
            </w:tcMar>
            <w:shd w:fill="F1F5F8"/>
          </w:tcPr>
          <w:p>
            <w:pPr>
              <w:spacing w:after="0" w:line="252" w:lineRule="auto"/>
            </w:pPr>
            <w:r>
              <w:rPr>
                <w:rFonts w:ascii="Calibri" w:hAnsi="Calibri"/>
                <w:color w:val="2A343E"/>
                <w:sz w:val="15"/>
              </w:rPr>
              <w:t>Email notifications</w:t>
            </w:r>
          </w:p>
        </w:tc>
        <w:tc>
          <w:tcPr>
            <w:tcW w:type="dxa" w:w="5112"/>
            <w:vAlign w:val="top"/>
            <w:tcMar>
              <w:top w:w="90" w:type="dxa"/>
              <w:start w:w="90" w:type="dxa"/>
              <w:bottom w:w="90" w:type="dxa"/>
              <w:end w:w="90" w:type="dxa"/>
            </w:tcMar>
            <w:shd w:fill="F1F5F8"/>
          </w:tcPr>
          <w:p>
            <w:pPr>
              <w:spacing w:after="0" w:line="252" w:lineRule="auto"/>
            </w:pPr>
            <w:r>
              <w:rPr>
                <w:rFonts w:ascii="Calibri" w:hAnsi="Calibri"/>
                <w:color w:val="2A343E"/>
                <w:sz w:val="15"/>
              </w:rPr>
              <w:t>Configure test SMTP credentials. Trigger a registration, ticket or donation confirmation and use the test inbox.</w:t>
            </w:r>
          </w:p>
        </w:tc>
        <w:tc>
          <w:tcPr>
            <w:tcW w:type="dxa" w:w="3182"/>
            <w:vAlign w:val="top"/>
            <w:tcMar>
              <w:top w:w="90" w:type="dxa"/>
              <w:start w:w="90" w:type="dxa"/>
              <w:bottom w:w="90" w:type="dxa"/>
              <w:end w:w="90" w:type="dxa"/>
            </w:tcMar>
            <w:shd w:fill="F1F5F8"/>
          </w:tcPr>
          <w:p>
            <w:pPr>
              <w:spacing w:after="0" w:line="252" w:lineRule="auto"/>
            </w:pPr>
            <w:r>
              <w:rPr>
                <w:rFonts w:ascii="Calibri" w:hAnsi="Calibri"/>
                <w:color w:val="2A343E"/>
                <w:sz w:val="15"/>
              </w:rPr>
              <w:t>The expected message arrives with the correct event, amount and recipient; failures are visible in logs.</w:t>
            </w:r>
          </w:p>
        </w:tc>
      </w:tr>
      <w:tr>
        <w:trPr>
          <w:cantSplit/>
        </w:trPr>
        <w:tc>
          <w:tcPr>
            <w:tcW w:type="dxa" w:w="547"/>
            <w:vAlign w:val="top"/>
            <w:tcMar>
              <w:top w:w="90" w:type="dxa"/>
              <w:start w:w="90" w:type="dxa"/>
              <w:bottom w:w="90" w:type="dxa"/>
              <w:end w:w="90" w:type="dxa"/>
            </w:tcMar>
          </w:tcPr>
          <w:p>
            <w:pPr>
              <w:spacing w:after="0" w:line="252" w:lineRule="auto"/>
            </w:pPr>
            <w:r>
              <w:rPr>
                <w:rFonts w:ascii="Calibri" w:hAnsi="Calibri"/>
                <w:color w:val="2A343E"/>
                <w:sz w:val="15"/>
              </w:rPr>
              <w:t>23</w:t>
            </w:r>
          </w:p>
        </w:tc>
        <w:tc>
          <w:tcPr>
            <w:tcW w:type="dxa" w:w="1757"/>
            <w:vAlign w:val="top"/>
            <w:tcMar>
              <w:top w:w="90" w:type="dxa"/>
              <w:start w:w="90" w:type="dxa"/>
              <w:bottom w:w="90" w:type="dxa"/>
              <w:end w:w="90" w:type="dxa"/>
            </w:tcMar>
          </w:tcPr>
          <w:p>
            <w:pPr>
              <w:spacing w:after="0" w:line="252" w:lineRule="auto"/>
            </w:pPr>
            <w:r>
              <w:rPr>
                <w:rFonts w:ascii="Calibri" w:hAnsi="Calibri"/>
                <w:color w:val="2A343E"/>
                <w:sz w:val="15"/>
              </w:rPr>
              <w:t>WhatsApp notifications</w:t>
            </w:r>
          </w:p>
        </w:tc>
        <w:tc>
          <w:tcPr>
            <w:tcW w:type="dxa" w:w="5112"/>
            <w:vAlign w:val="top"/>
            <w:tcMar>
              <w:top w:w="90" w:type="dxa"/>
              <w:start w:w="90" w:type="dxa"/>
              <w:bottom w:w="90" w:type="dxa"/>
              <w:end w:w="90" w:type="dxa"/>
            </w:tcMar>
          </w:tcPr>
          <w:p>
            <w:pPr>
              <w:spacing w:after="0" w:line="252" w:lineRule="auto"/>
            </w:pPr>
            <w:r>
              <w:rPr>
                <w:rFonts w:ascii="Calibri" w:hAnsi="Calibri"/>
                <w:color w:val="2A343E"/>
                <w:sz w:val="15"/>
              </w:rPr>
              <w:t>Only if WhatsApp credentials are configured, use a test number and trigger the supported message workflow.</w:t>
            </w:r>
          </w:p>
        </w:tc>
        <w:tc>
          <w:tcPr>
            <w:tcW w:type="dxa" w:w="3182"/>
            <w:vAlign w:val="top"/>
            <w:tcMar>
              <w:top w:w="90" w:type="dxa"/>
              <w:start w:w="90" w:type="dxa"/>
              <w:bottom w:w="90" w:type="dxa"/>
              <w:end w:w="90" w:type="dxa"/>
            </w:tcMar>
          </w:tcPr>
          <w:p>
            <w:pPr>
              <w:spacing w:after="0" w:line="252" w:lineRule="auto"/>
            </w:pPr>
            <w:r>
              <w:rPr>
                <w:rFonts w:ascii="Calibri" w:hAnsi="Calibri"/>
                <w:color w:val="2A343E"/>
                <w:sz w:val="15"/>
              </w:rPr>
              <w:t>The provider accepts the message and the application reports its result; without credentials this check is marked not configured.</w:t>
            </w:r>
          </w:p>
        </w:tc>
      </w:tr>
      <w:tr>
        <w:trPr>
          <w:cantSplit/>
        </w:trPr>
        <w:tc>
          <w:tcPr>
            <w:tcW w:type="dxa" w:w="547"/>
            <w:vAlign w:val="top"/>
            <w:tcMar>
              <w:top w:w="90" w:type="dxa"/>
              <w:start w:w="90" w:type="dxa"/>
              <w:bottom w:w="90" w:type="dxa"/>
              <w:end w:w="90" w:type="dxa"/>
            </w:tcMar>
            <w:shd w:fill="F1F5F8"/>
          </w:tcPr>
          <w:p>
            <w:pPr>
              <w:spacing w:after="0" w:line="252" w:lineRule="auto"/>
            </w:pPr>
            <w:r>
              <w:rPr>
                <w:rFonts w:ascii="Calibri" w:hAnsi="Calibri"/>
                <w:color w:val="2A343E"/>
                <w:sz w:val="15"/>
              </w:rPr>
              <w:t>24</w:t>
            </w:r>
          </w:p>
        </w:tc>
        <w:tc>
          <w:tcPr>
            <w:tcW w:type="dxa" w:w="1757"/>
            <w:vAlign w:val="top"/>
            <w:tcMar>
              <w:top w:w="90" w:type="dxa"/>
              <w:start w:w="90" w:type="dxa"/>
              <w:bottom w:w="90" w:type="dxa"/>
              <w:end w:w="90" w:type="dxa"/>
            </w:tcMar>
            <w:shd w:fill="F1F5F8"/>
          </w:tcPr>
          <w:p>
            <w:pPr>
              <w:spacing w:after="0" w:line="252" w:lineRule="auto"/>
            </w:pPr>
            <w:r>
              <w:rPr>
                <w:rFonts w:ascii="Calibri" w:hAnsi="Calibri"/>
                <w:color w:val="2A343E"/>
                <w:sz w:val="15"/>
              </w:rPr>
              <w:t>Files and media</w:t>
            </w:r>
          </w:p>
        </w:tc>
        <w:tc>
          <w:tcPr>
            <w:tcW w:type="dxa" w:w="5112"/>
            <w:vAlign w:val="top"/>
            <w:tcMar>
              <w:top w:w="90" w:type="dxa"/>
              <w:start w:w="90" w:type="dxa"/>
              <w:bottom w:w="90" w:type="dxa"/>
              <w:end w:w="90" w:type="dxa"/>
            </w:tcMar>
            <w:shd w:fill="F1F5F8"/>
          </w:tcPr>
          <w:p>
            <w:pPr>
              <w:spacing w:after="0" w:line="252" w:lineRule="auto"/>
            </w:pPr>
            <w:r>
              <w:rPr>
                <w:rFonts w:ascii="Calibri" w:hAnsi="Calibri"/>
                <w:color w:val="2A343E"/>
                <w:sz w:val="15"/>
              </w:rPr>
              <w:t>Upload a small test file or event image. View it in the appropriate file/media screen, download it, then remove the test file.</w:t>
            </w:r>
          </w:p>
        </w:tc>
        <w:tc>
          <w:tcPr>
            <w:tcW w:type="dxa" w:w="3182"/>
            <w:vAlign w:val="top"/>
            <w:tcMar>
              <w:top w:w="90" w:type="dxa"/>
              <w:start w:w="90" w:type="dxa"/>
              <w:bottom w:w="90" w:type="dxa"/>
              <w:end w:w="90" w:type="dxa"/>
            </w:tcMar>
            <w:shd w:fill="F1F5F8"/>
          </w:tcPr>
          <w:p>
            <w:pPr>
              <w:spacing w:after="0" w:line="252" w:lineRule="auto"/>
            </w:pPr>
            <w:r>
              <w:rPr>
                <w:rFonts w:ascii="Calibri" w:hAnsi="Calibri"/>
                <w:color w:val="2A343E"/>
                <w:sz w:val="15"/>
              </w:rPr>
              <w:t>The file opens correctly and the configured access rules are respected.</w:t>
            </w:r>
          </w:p>
        </w:tc>
      </w:tr>
      <w:tr>
        <w:trPr>
          <w:cantSplit/>
        </w:trPr>
        <w:tc>
          <w:tcPr>
            <w:tcW w:type="dxa" w:w="547"/>
            <w:vAlign w:val="top"/>
            <w:tcMar>
              <w:top w:w="90" w:type="dxa"/>
              <w:start w:w="90" w:type="dxa"/>
              <w:bottom w:w="90" w:type="dxa"/>
              <w:end w:w="90" w:type="dxa"/>
            </w:tcMar>
          </w:tcPr>
          <w:p>
            <w:pPr>
              <w:spacing w:after="0" w:line="252" w:lineRule="auto"/>
            </w:pPr>
            <w:r>
              <w:rPr>
                <w:rFonts w:ascii="Calibri" w:hAnsi="Calibri"/>
                <w:color w:val="2A343E"/>
                <w:sz w:val="15"/>
              </w:rPr>
              <w:t>25</w:t>
            </w:r>
          </w:p>
        </w:tc>
        <w:tc>
          <w:tcPr>
            <w:tcW w:type="dxa" w:w="1757"/>
            <w:vAlign w:val="top"/>
            <w:tcMar>
              <w:top w:w="90" w:type="dxa"/>
              <w:start w:w="90" w:type="dxa"/>
              <w:bottom w:w="90" w:type="dxa"/>
              <w:end w:w="90" w:type="dxa"/>
            </w:tcMar>
          </w:tcPr>
          <w:p>
            <w:pPr>
              <w:spacing w:after="0" w:line="252" w:lineRule="auto"/>
            </w:pPr>
            <w:r>
              <w:rPr>
                <w:rFonts w:ascii="Calibri" w:hAnsi="Calibri"/>
                <w:color w:val="2A343E"/>
                <w:sz w:val="15"/>
              </w:rPr>
              <w:t>Reports and exports</w:t>
            </w:r>
          </w:p>
        </w:tc>
        <w:tc>
          <w:tcPr>
            <w:tcW w:type="dxa" w:w="5112"/>
            <w:vAlign w:val="top"/>
            <w:tcMar>
              <w:top w:w="90" w:type="dxa"/>
              <w:start w:w="90" w:type="dxa"/>
              <w:bottom w:w="90" w:type="dxa"/>
              <w:end w:w="90" w:type="dxa"/>
            </w:tcMar>
          </w:tcPr>
          <w:p>
            <w:pPr>
              <w:spacing w:after="0" w:line="252" w:lineRule="auto"/>
            </w:pPr>
            <w:r>
              <w:rPr>
                <w:rFonts w:ascii="Calibri" w:hAnsi="Calibri"/>
                <w:color w:val="2A343E"/>
                <w:sz w:val="15"/>
              </w:rPr>
              <w:t>Open event, donation, bank and impact reports. Export a donation CSV and check a sample row against the test record.</w:t>
            </w:r>
          </w:p>
        </w:tc>
        <w:tc>
          <w:tcPr>
            <w:tcW w:type="dxa" w:w="3182"/>
            <w:vAlign w:val="top"/>
            <w:tcMar>
              <w:top w:w="90" w:type="dxa"/>
              <w:start w:w="90" w:type="dxa"/>
              <w:bottom w:w="90" w:type="dxa"/>
              <w:end w:w="90" w:type="dxa"/>
            </w:tcMar>
          </w:tcPr>
          <w:p>
            <w:pPr>
              <w:spacing w:after="0" w:line="252" w:lineRule="auto"/>
            </w:pPr>
            <w:r>
              <w:rPr>
                <w:rFonts w:ascii="Calibri" w:hAnsi="Calibri"/>
                <w:color w:val="2A343E"/>
                <w:sz w:val="15"/>
              </w:rPr>
              <w:t>Exports open in a spreadsheet and totals correspond to the selected charity and date range.</w:t>
            </w:r>
          </w:p>
        </w:tc>
      </w:tr>
      <w:tr>
        <w:trPr>
          <w:cantSplit/>
        </w:trPr>
        <w:tc>
          <w:tcPr>
            <w:tcW w:type="dxa" w:w="547"/>
            <w:vAlign w:val="top"/>
            <w:tcMar>
              <w:top w:w="90" w:type="dxa"/>
              <w:start w:w="90" w:type="dxa"/>
              <w:bottom w:w="90" w:type="dxa"/>
              <w:end w:w="90" w:type="dxa"/>
            </w:tcMar>
            <w:shd w:fill="F1F5F8"/>
          </w:tcPr>
          <w:p>
            <w:pPr>
              <w:spacing w:after="0" w:line="252" w:lineRule="auto"/>
            </w:pPr>
            <w:r>
              <w:rPr>
                <w:rFonts w:ascii="Calibri" w:hAnsi="Calibri"/>
                <w:color w:val="2A343E"/>
                <w:sz w:val="15"/>
              </w:rPr>
              <w:t>26</w:t>
            </w:r>
          </w:p>
        </w:tc>
        <w:tc>
          <w:tcPr>
            <w:tcW w:type="dxa" w:w="1757"/>
            <w:vAlign w:val="top"/>
            <w:tcMar>
              <w:top w:w="90" w:type="dxa"/>
              <w:start w:w="90" w:type="dxa"/>
              <w:bottom w:w="90" w:type="dxa"/>
              <w:end w:w="90" w:type="dxa"/>
            </w:tcMar>
            <w:shd w:fill="F1F5F8"/>
          </w:tcPr>
          <w:p>
            <w:pPr>
              <w:spacing w:after="0" w:line="252" w:lineRule="auto"/>
            </w:pPr>
            <w:r>
              <w:rPr>
                <w:rFonts w:ascii="Calibri" w:hAnsi="Calibri"/>
                <w:color w:val="2A343E"/>
                <w:sz w:val="15"/>
              </w:rPr>
              <w:t>Platform settings and administrators</w:t>
            </w:r>
          </w:p>
        </w:tc>
        <w:tc>
          <w:tcPr>
            <w:tcW w:type="dxa" w:w="5112"/>
            <w:vAlign w:val="top"/>
            <w:tcMar>
              <w:top w:w="90" w:type="dxa"/>
              <w:start w:w="90" w:type="dxa"/>
              <w:bottom w:w="90" w:type="dxa"/>
              <w:end w:w="90" w:type="dxa"/>
            </w:tcMar>
            <w:shd w:fill="F1F5F8"/>
          </w:tcPr>
          <w:p>
            <w:pPr>
              <w:spacing w:after="0" w:line="252" w:lineRule="auto"/>
            </w:pPr>
            <w:r>
              <w:rPr>
                <w:rFonts w:ascii="Calibri" w:hAnsi="Calibri"/>
                <w:color w:val="2A343E"/>
                <w:sz w:val="15"/>
              </w:rPr>
              <w:t>Open platform settings and audit history. Add a temporary platform admin if available, verify role limits, then disable the test user.</w:t>
            </w:r>
          </w:p>
        </w:tc>
        <w:tc>
          <w:tcPr>
            <w:tcW w:type="dxa" w:w="3182"/>
            <w:vAlign w:val="top"/>
            <w:tcMar>
              <w:top w:w="90" w:type="dxa"/>
              <w:start w:w="90" w:type="dxa"/>
              <w:bottom w:w="90" w:type="dxa"/>
              <w:end w:w="90" w:type="dxa"/>
            </w:tcMar>
            <w:shd w:fill="F1F5F8"/>
          </w:tcPr>
          <w:p>
            <w:pPr>
              <w:spacing w:after="0" w:line="252" w:lineRule="auto"/>
            </w:pPr>
            <w:r>
              <w:rPr>
                <w:rFonts w:ascii="Calibri" w:hAnsi="Calibri"/>
                <w:color w:val="2A343E"/>
                <w:sz w:val="15"/>
              </w:rPr>
              <w:t>Secret settings remain masked; privileged actions appear in the audit history.</w:t>
            </w:r>
          </w:p>
        </w:tc>
      </w:tr>
      <w:tr>
        <w:trPr>
          <w:cantSplit/>
        </w:trPr>
        <w:tc>
          <w:tcPr>
            <w:tcW w:type="dxa" w:w="547"/>
            <w:vAlign w:val="top"/>
            <w:tcMar>
              <w:top w:w="90" w:type="dxa"/>
              <w:start w:w="90" w:type="dxa"/>
              <w:bottom w:w="90" w:type="dxa"/>
              <w:end w:w="90" w:type="dxa"/>
            </w:tcMar>
          </w:tcPr>
          <w:p>
            <w:pPr>
              <w:spacing w:after="0" w:line="252" w:lineRule="auto"/>
            </w:pPr>
            <w:r>
              <w:rPr>
                <w:rFonts w:ascii="Calibri" w:hAnsi="Calibri"/>
                <w:color w:val="2A343E"/>
                <w:sz w:val="15"/>
              </w:rPr>
              <w:t>27</w:t>
            </w:r>
          </w:p>
        </w:tc>
        <w:tc>
          <w:tcPr>
            <w:tcW w:type="dxa" w:w="1757"/>
            <w:vAlign w:val="top"/>
            <w:tcMar>
              <w:top w:w="90" w:type="dxa"/>
              <w:start w:w="90" w:type="dxa"/>
              <w:bottom w:w="90" w:type="dxa"/>
              <w:end w:w="90" w:type="dxa"/>
            </w:tcMar>
          </w:tcPr>
          <w:p>
            <w:pPr>
              <w:spacing w:after="0" w:line="252" w:lineRule="auto"/>
            </w:pPr>
            <w:r>
              <w:rPr>
                <w:rFonts w:ascii="Calibri" w:hAnsi="Calibri"/>
                <w:color w:val="2A343E"/>
                <w:sz w:val="15"/>
              </w:rPr>
              <w:t>CSV bulk upload</w:t>
            </w:r>
          </w:p>
        </w:tc>
        <w:tc>
          <w:tcPr>
            <w:tcW w:type="dxa" w:w="5112"/>
            <w:vAlign w:val="top"/>
            <w:tcMar>
              <w:top w:w="90" w:type="dxa"/>
              <w:start w:w="90" w:type="dxa"/>
              <w:bottom w:w="90" w:type="dxa"/>
              <w:end w:w="90" w:type="dxa"/>
            </w:tcMar>
          </w:tcPr>
          <w:p>
            <w:pPr>
              <w:spacing w:after="0" w:line="252" w:lineRule="auto"/>
            </w:pPr>
            <w:r>
              <w:rPr>
                <w:rFonts w:ascii="Calibri" w:hAnsi="Calibri"/>
                <w:color w:val="2A343E"/>
                <w:sz w:val="15"/>
              </w:rPr>
              <w:t>Open Data Management, choose an importable table, download its sample CSV, check the file, and import a small test batch.</w:t>
            </w:r>
          </w:p>
        </w:tc>
        <w:tc>
          <w:tcPr>
            <w:tcW w:type="dxa" w:w="3182"/>
            <w:vAlign w:val="top"/>
            <w:tcMar>
              <w:top w:w="90" w:type="dxa"/>
              <w:start w:w="90" w:type="dxa"/>
              <w:bottom w:w="90" w:type="dxa"/>
              <w:end w:w="90" w:type="dxa"/>
            </w:tcMar>
          </w:tcPr>
          <w:p>
            <w:pPr>
              <w:spacing w:after="0" w:line="252" w:lineRule="auto"/>
            </w:pPr>
            <w:r>
              <w:rPr>
                <w:rFonts w:ascii="Calibri" w:hAnsi="Calibri"/>
                <w:color w:val="2A343E"/>
                <w:sz w:val="15"/>
              </w:rPr>
              <w:t>Preview reports rows without changing data; successful import adds the full batch; audit history records the import.</w:t>
            </w:r>
          </w:p>
        </w:tc>
      </w:tr>
      <w:tr>
        <w:trPr>
          <w:cantSplit/>
        </w:trPr>
        <w:tc>
          <w:tcPr>
            <w:tcW w:type="dxa" w:w="547"/>
            <w:vAlign w:val="top"/>
            <w:tcMar>
              <w:top w:w="90" w:type="dxa"/>
              <w:start w:w="90" w:type="dxa"/>
              <w:bottom w:w="90" w:type="dxa"/>
              <w:end w:w="90" w:type="dxa"/>
            </w:tcMar>
            <w:shd w:fill="F1F5F8"/>
          </w:tcPr>
          <w:p>
            <w:pPr>
              <w:spacing w:after="0" w:line="252" w:lineRule="auto"/>
            </w:pPr>
            <w:r>
              <w:rPr>
                <w:rFonts w:ascii="Calibri" w:hAnsi="Calibri"/>
                <w:color w:val="2A343E"/>
                <w:sz w:val="15"/>
              </w:rPr>
              <w:t>28</w:t>
            </w:r>
          </w:p>
        </w:tc>
        <w:tc>
          <w:tcPr>
            <w:tcW w:type="dxa" w:w="1757"/>
            <w:vAlign w:val="top"/>
            <w:tcMar>
              <w:top w:w="90" w:type="dxa"/>
              <w:start w:w="90" w:type="dxa"/>
              <w:bottom w:w="90" w:type="dxa"/>
              <w:end w:w="90" w:type="dxa"/>
            </w:tcMar>
            <w:shd w:fill="F1F5F8"/>
          </w:tcPr>
          <w:p>
            <w:pPr>
              <w:spacing w:after="0" w:line="252" w:lineRule="auto"/>
            </w:pPr>
            <w:r>
              <w:rPr>
                <w:rFonts w:ascii="Calibri" w:hAnsi="Calibri"/>
                <w:color w:val="2A343E"/>
                <w:sz w:val="15"/>
              </w:rPr>
              <w:t>CSV rejection and rollback</w:t>
            </w:r>
          </w:p>
        </w:tc>
        <w:tc>
          <w:tcPr>
            <w:tcW w:type="dxa" w:w="5112"/>
            <w:vAlign w:val="top"/>
            <w:tcMar>
              <w:top w:w="90" w:type="dxa"/>
              <w:start w:w="90" w:type="dxa"/>
              <w:bottom w:w="90" w:type="dxa"/>
              <w:end w:w="90" w:type="dxa"/>
            </w:tcMar>
            <w:shd w:fill="F1F5F8"/>
          </w:tcPr>
          <w:p>
            <w:pPr>
              <w:spacing w:after="0" w:line="252" w:lineRule="auto"/>
            </w:pPr>
            <w:r>
              <w:rPr>
                <w:rFonts w:ascii="Calibri" w:hAnsi="Calibri"/>
                <w:color w:val="2A343E"/>
                <w:sz w:val="15"/>
              </w:rPr>
              <w:t>Make one CSV row invalid, such as an unknown column or invalid number. Preview it and try importing. Repeat against a protected table.</w:t>
            </w:r>
          </w:p>
        </w:tc>
        <w:tc>
          <w:tcPr>
            <w:tcW w:type="dxa" w:w="3182"/>
            <w:vAlign w:val="top"/>
            <w:tcMar>
              <w:top w:w="90" w:type="dxa"/>
              <w:start w:w="90" w:type="dxa"/>
              <w:bottom w:w="90" w:type="dxa"/>
              <w:end w:w="90" w:type="dxa"/>
            </w:tcMar>
            <w:shd w:fill="F1F5F8"/>
          </w:tcPr>
          <w:p>
            <w:pPr>
              <w:spacing w:after="0" w:line="252" w:lineRule="auto"/>
            </w:pPr>
            <w:r>
              <w:rPr>
                <w:rFonts w:ascii="Calibri" w:hAnsi="Calibri"/>
                <w:color w:val="2A343E"/>
                <w:sz w:val="15"/>
              </w:rPr>
              <w:t>The invalid batch imports no rows; the protected table refuses CSV import and points to its dedicated workflow.</w:t>
            </w:r>
          </w:p>
        </w:tc>
      </w:tr>
      <w:tr>
        <w:trPr>
          <w:cantSplit/>
        </w:trPr>
        <w:tc>
          <w:tcPr>
            <w:tcW w:type="dxa" w:w="547"/>
            <w:vAlign w:val="top"/>
            <w:tcMar>
              <w:top w:w="90" w:type="dxa"/>
              <w:start w:w="90" w:type="dxa"/>
              <w:bottom w:w="90" w:type="dxa"/>
              <w:end w:w="90" w:type="dxa"/>
            </w:tcMar>
          </w:tcPr>
          <w:p>
            <w:pPr>
              <w:spacing w:after="0" w:line="252" w:lineRule="auto"/>
            </w:pPr>
            <w:r>
              <w:rPr>
                <w:rFonts w:ascii="Calibri" w:hAnsi="Calibri"/>
                <w:color w:val="2A343E"/>
                <w:sz w:val="15"/>
              </w:rPr>
              <w:t>29</w:t>
            </w:r>
          </w:p>
        </w:tc>
        <w:tc>
          <w:tcPr>
            <w:tcW w:type="dxa" w:w="1757"/>
            <w:vAlign w:val="top"/>
            <w:tcMar>
              <w:top w:w="90" w:type="dxa"/>
              <w:start w:w="90" w:type="dxa"/>
              <w:bottom w:w="90" w:type="dxa"/>
              <w:end w:w="90" w:type="dxa"/>
            </w:tcMar>
          </w:tcPr>
          <w:p>
            <w:pPr>
              <w:spacing w:after="0" w:line="252" w:lineRule="auto"/>
            </w:pPr>
            <w:r>
              <w:rPr>
                <w:rFonts w:ascii="Calibri" w:hAnsi="Calibri"/>
                <w:color w:val="2A343E"/>
                <w:sz w:val="15"/>
              </w:rPr>
              <w:t>Existing Kutumb regression</w:t>
            </w:r>
          </w:p>
        </w:tc>
        <w:tc>
          <w:tcPr>
            <w:tcW w:type="dxa" w:w="5112"/>
            <w:vAlign w:val="top"/>
            <w:tcMar>
              <w:top w:w="90" w:type="dxa"/>
              <w:start w:w="90" w:type="dxa"/>
              <w:bottom w:w="90" w:type="dxa"/>
              <w:end w:w="90" w:type="dxa"/>
            </w:tcMar>
          </w:tcPr>
          <w:p>
            <w:pPr>
              <w:spacing w:after="0" w:line="252" w:lineRule="auto"/>
            </w:pPr>
            <w:r>
              <w:rPr>
                <w:rFonts w:ascii="Calibri" w:hAnsi="Calibri"/>
                <w:color w:val="2A343E"/>
                <w:sz w:val="15"/>
              </w:rPr>
              <w:t>Repeat login, event viewing, registration, ticket purchase, QR check-in, donations, finance, bank reconciliation, reporting and email checks using the baseline records.</w:t>
            </w:r>
          </w:p>
        </w:tc>
        <w:tc>
          <w:tcPr>
            <w:tcW w:type="dxa" w:w="3182"/>
            <w:vAlign w:val="top"/>
            <w:tcMar>
              <w:top w:w="90" w:type="dxa"/>
              <w:start w:w="90" w:type="dxa"/>
              <w:bottom w:w="90" w:type="dxa"/>
              <w:end w:w="90" w:type="dxa"/>
            </w:tcMar>
          </w:tcPr>
          <w:p>
            <w:pPr>
              <w:spacing w:after="0" w:line="252" w:lineRule="auto"/>
            </w:pPr>
            <w:r>
              <w:rPr>
                <w:rFonts w:ascii="Calibri" w:hAnsi="Calibri"/>
                <w:color w:val="2A343E"/>
                <w:sz w:val="15"/>
              </w:rPr>
              <w:t>Existing Kutumb journeys still work alongside the charity platform.</w:t>
            </w:r>
          </w:p>
        </w:tc>
      </w:tr>
      <w:tr>
        <w:trPr>
          <w:cantSplit/>
        </w:trPr>
        <w:tc>
          <w:tcPr>
            <w:tcW w:type="dxa" w:w="547"/>
            <w:vAlign w:val="top"/>
            <w:tcMar>
              <w:top w:w="90" w:type="dxa"/>
              <w:start w:w="90" w:type="dxa"/>
              <w:bottom w:w="90" w:type="dxa"/>
              <w:end w:w="90" w:type="dxa"/>
            </w:tcMar>
            <w:shd w:fill="F1F5F8"/>
          </w:tcPr>
          <w:p>
            <w:pPr>
              <w:spacing w:after="0" w:line="252" w:lineRule="auto"/>
            </w:pPr>
            <w:r>
              <w:rPr>
                <w:rFonts w:ascii="Calibri" w:hAnsi="Calibri"/>
                <w:color w:val="2A343E"/>
                <w:sz w:val="15"/>
              </w:rPr>
              <w:t>30</w:t>
            </w:r>
          </w:p>
        </w:tc>
        <w:tc>
          <w:tcPr>
            <w:tcW w:type="dxa" w:w="1757"/>
            <w:vAlign w:val="top"/>
            <w:tcMar>
              <w:top w:w="90" w:type="dxa"/>
              <w:start w:w="90" w:type="dxa"/>
              <w:bottom w:w="90" w:type="dxa"/>
              <w:end w:w="90" w:type="dxa"/>
            </w:tcMar>
            <w:shd w:fill="F1F5F8"/>
          </w:tcPr>
          <w:p>
            <w:pPr>
              <w:spacing w:after="0" w:line="252" w:lineRule="auto"/>
            </w:pPr>
            <w:r>
              <w:rPr>
                <w:rFonts w:ascii="Calibri" w:hAnsi="Calibri"/>
                <w:color w:val="2A343E"/>
                <w:sz w:val="15"/>
              </w:rPr>
              <w:t>Backup and recovery check</w:t>
            </w:r>
          </w:p>
        </w:tc>
        <w:tc>
          <w:tcPr>
            <w:tcW w:type="dxa" w:w="5112"/>
            <w:vAlign w:val="top"/>
            <w:tcMar>
              <w:top w:w="90" w:type="dxa"/>
              <w:start w:w="90" w:type="dxa"/>
              <w:bottom w:w="90" w:type="dxa"/>
              <w:end w:w="90" w:type="dxa"/>
            </w:tcMar>
            <w:shd w:fill="F1F5F8"/>
          </w:tcPr>
          <w:p>
            <w:pPr>
              <w:spacing w:after="0" w:line="252" w:lineRule="auto"/>
            </w:pPr>
            <w:r>
              <w:rPr>
                <w:rFonts w:ascii="Calibri" w:hAnsi="Calibri"/>
                <w:color w:val="2A343E"/>
                <w:sz w:val="15"/>
              </w:rPr>
              <w:t>Back up the test database. Restore it to a disposable database and verify representative event, supporter, donation and settlement records.</w:t>
            </w:r>
          </w:p>
        </w:tc>
        <w:tc>
          <w:tcPr>
            <w:tcW w:type="dxa" w:w="3182"/>
            <w:vAlign w:val="top"/>
            <w:tcMar>
              <w:top w:w="90" w:type="dxa"/>
              <w:start w:w="90" w:type="dxa"/>
              <w:bottom w:w="90" w:type="dxa"/>
              <w:end w:w="90" w:type="dxa"/>
            </w:tcMar>
            <w:shd w:fill="F1F5F8"/>
          </w:tcPr>
          <w:p>
            <w:pPr>
              <w:spacing w:after="0" w:line="252" w:lineRule="auto"/>
            </w:pPr>
            <w:r>
              <w:rPr>
                <w:rFonts w:ascii="Calibri" w:hAnsi="Calibri"/>
                <w:color w:val="2A343E"/>
                <w:sz w:val="15"/>
              </w:rPr>
              <w:t>The restored test database opens with linked records intact.</w:t>
            </w:r>
          </w:p>
        </w:tc>
      </w:tr>
    </w:tbl>
    <w:p>
      <w:pPr>
        <w:pStyle w:val="Heading1"/>
      </w:pPr>
      <w:r>
        <w:t>CSV upload procedure</w:t>
      </w:r>
    </w:p>
    <w:tbl>
      <w:tblPr>
        <w:tblStyle w:val="TableGrid"/>
        <w:tblW w:type="auto" w:w="0"/>
        <w:jc w:val="center"/>
        <w:tblLayout w:type="fixed"/>
        <w:tblLook w:firstColumn="1" w:firstRow="1" w:lastColumn="0" w:lastRow="0" w:noHBand="0" w:noVBand="1" w:val="04A0"/>
      </w:tblPr>
      <w:tblGrid>
        <w:gridCol w:w="2642"/>
        <w:gridCol w:w="2642"/>
        <w:gridCol w:w="2642"/>
        <w:gridCol w:w="2642"/>
      </w:tblGrid>
      <w:tr>
        <w:trPr>
          <w:tblHeader w:val="true"/>
        </w:trPr>
        <w:tc>
          <w:tcPr>
            <w:tcW w:type="dxa" w:w="691"/>
            <w:vAlign w:val="center"/>
            <w:shd w:fill="183B5B"/>
            <w:tcMar>
              <w:top w:w="120" w:type="dxa"/>
              <w:start w:w="100" w:type="dxa"/>
              <w:bottom w:w="120" w:type="dxa"/>
              <w:end w:w="100" w:type="dxa"/>
            </w:tcMar>
          </w:tcPr>
          <w:p>
            <w:pPr>
              <w:spacing w:after="0"/>
            </w:pPr>
            <w:r>
              <w:rPr>
                <w:rFonts w:ascii="Calibri" w:hAnsi="Calibri"/>
                <w:b/>
                <w:color w:val="FFFFFF"/>
                <w:sz w:val="16"/>
              </w:rPr>
              <w:t>Step</w:t>
            </w:r>
          </w:p>
        </w:tc>
        <w:tc>
          <w:tcPr>
            <w:tcW w:type="dxa" w:w="1843"/>
            <w:vAlign w:val="center"/>
            <w:shd w:fill="183B5B"/>
            <w:tcMar>
              <w:top w:w="120" w:type="dxa"/>
              <w:start w:w="100" w:type="dxa"/>
              <w:bottom w:w="120" w:type="dxa"/>
              <w:end w:w="100" w:type="dxa"/>
            </w:tcMar>
          </w:tcPr>
          <w:p>
            <w:pPr>
              <w:spacing w:after="0"/>
            </w:pPr>
            <w:r>
              <w:rPr>
                <w:rFonts w:ascii="Calibri" w:hAnsi="Calibri"/>
                <w:b/>
                <w:color w:val="FFFFFF"/>
                <w:sz w:val="16"/>
              </w:rPr>
              <w:t>Action</w:t>
            </w:r>
          </w:p>
        </w:tc>
        <w:tc>
          <w:tcPr>
            <w:tcW w:type="dxa" w:w="4392"/>
            <w:vAlign w:val="center"/>
            <w:shd w:fill="183B5B"/>
            <w:tcMar>
              <w:top w:w="120" w:type="dxa"/>
              <w:start w:w="100" w:type="dxa"/>
              <w:bottom w:w="120" w:type="dxa"/>
              <w:end w:w="100" w:type="dxa"/>
            </w:tcMar>
          </w:tcPr>
          <w:p>
            <w:pPr>
              <w:spacing w:after="0"/>
            </w:pPr>
            <w:r>
              <w:rPr>
                <w:rFonts w:ascii="Calibri" w:hAnsi="Calibri"/>
                <w:b/>
                <w:color w:val="FFFFFF"/>
                <w:sz w:val="16"/>
              </w:rPr>
              <w:t>Instructions</w:t>
            </w:r>
          </w:p>
        </w:tc>
        <w:tc>
          <w:tcPr>
            <w:tcW w:type="dxa" w:w="3672"/>
            <w:vAlign w:val="center"/>
            <w:shd w:fill="183B5B"/>
            <w:tcMar>
              <w:top w:w="120" w:type="dxa"/>
              <w:start w:w="100" w:type="dxa"/>
              <w:bottom w:w="120" w:type="dxa"/>
              <w:end w:w="100" w:type="dxa"/>
            </w:tcMar>
          </w:tcPr>
          <w:p>
            <w:pPr>
              <w:spacing w:after="0"/>
            </w:pPr>
            <w:r>
              <w:rPr>
                <w:rFonts w:ascii="Calibri" w:hAnsi="Calibri"/>
                <w:b/>
                <w:color w:val="FFFFFF"/>
                <w:sz w:val="16"/>
              </w:rPr>
              <w:t>Expected result</w:t>
            </w:r>
          </w:p>
        </w:tc>
      </w:tr>
      <w:tr>
        <w:trPr>
          <w:cantSplit/>
        </w:trPr>
        <w:tc>
          <w:tcPr>
            <w:tcW w:type="dxa" w:w="691"/>
            <w:vAlign w:val="top"/>
            <w:tcMar>
              <w:top w:w="90" w:type="dxa"/>
              <w:start w:w="90" w:type="dxa"/>
              <w:bottom w:w="90" w:type="dxa"/>
              <w:end w:w="90" w:type="dxa"/>
            </w:tcMar>
          </w:tcPr>
          <w:p>
            <w:pPr>
              <w:spacing w:after="0" w:line="252" w:lineRule="auto"/>
            </w:pPr>
            <w:r>
              <w:rPr>
                <w:rFonts w:ascii="Calibri" w:hAnsi="Calibri"/>
                <w:color w:val="2A343E"/>
                <w:sz w:val="16"/>
              </w:rPr>
              <w:t>1</w:t>
            </w:r>
          </w:p>
        </w:tc>
        <w:tc>
          <w:tcPr>
            <w:tcW w:type="dxa" w:w="1843"/>
            <w:vAlign w:val="top"/>
            <w:tcMar>
              <w:top w:w="90" w:type="dxa"/>
              <w:start w:w="90" w:type="dxa"/>
              <w:bottom w:w="90" w:type="dxa"/>
              <w:end w:w="90" w:type="dxa"/>
            </w:tcMar>
          </w:tcPr>
          <w:p>
            <w:pPr>
              <w:spacing w:after="0" w:line="252" w:lineRule="auto"/>
            </w:pPr>
            <w:r>
              <w:rPr>
                <w:rFonts w:ascii="Calibri" w:hAnsi="Calibri"/>
                <w:color w:val="2A343E"/>
                <w:sz w:val="16"/>
              </w:rPr>
              <w:t>Choose a table</w:t>
            </w:r>
          </w:p>
        </w:tc>
        <w:tc>
          <w:tcPr>
            <w:tcW w:type="dxa" w:w="4392"/>
            <w:vAlign w:val="top"/>
            <w:tcMar>
              <w:top w:w="90" w:type="dxa"/>
              <w:start w:w="90" w:type="dxa"/>
              <w:bottom w:w="90" w:type="dxa"/>
              <w:end w:w="90" w:type="dxa"/>
            </w:tcMar>
          </w:tcPr>
          <w:p>
            <w:pPr>
              <w:spacing w:after="0" w:line="252" w:lineRule="auto"/>
            </w:pPr>
            <w:r>
              <w:rPr>
                <w:rFonts w:ascii="Calibri" w:hAnsi="Calibri"/>
                <w:color w:val="2A343E"/>
                <w:sz w:val="16"/>
              </w:rPr>
              <w:t>Sign in as platform admin. Open Data Management, choose a table, then select Download sample CSV.</w:t>
            </w:r>
          </w:p>
        </w:tc>
        <w:tc>
          <w:tcPr>
            <w:tcW w:type="dxa" w:w="3672"/>
            <w:vAlign w:val="top"/>
            <w:tcMar>
              <w:top w:w="90" w:type="dxa"/>
              <w:start w:w="90" w:type="dxa"/>
              <w:bottom w:w="90" w:type="dxa"/>
              <w:end w:w="90" w:type="dxa"/>
            </w:tcMar>
          </w:tcPr>
          <w:p>
            <w:pPr>
              <w:spacing w:after="0" w:line="252" w:lineRule="auto"/>
            </w:pPr>
            <w:r>
              <w:rPr>
                <w:rFonts w:ascii="Calibri" w:hAnsi="Calibri"/>
                <w:color w:val="2A343E"/>
                <w:sz w:val="16"/>
              </w:rPr>
              <w:t>The sample file has a column-name header and a fictional example row.</w:t>
            </w:r>
          </w:p>
        </w:tc>
      </w:tr>
      <w:tr>
        <w:trPr>
          <w:cantSplit/>
        </w:trPr>
        <w:tc>
          <w:tcPr>
            <w:tcW w:type="dxa" w:w="691"/>
            <w:vAlign w:val="top"/>
            <w:tcMar>
              <w:top w:w="90" w:type="dxa"/>
              <w:start w:w="90" w:type="dxa"/>
              <w:bottom w:w="90" w:type="dxa"/>
              <w:end w:w="90" w:type="dxa"/>
            </w:tcMar>
            <w:shd w:fill="F1F5F8"/>
          </w:tcPr>
          <w:p>
            <w:pPr>
              <w:spacing w:after="0" w:line="252" w:lineRule="auto"/>
            </w:pPr>
            <w:r>
              <w:rPr>
                <w:rFonts w:ascii="Calibri" w:hAnsi="Calibri"/>
                <w:color w:val="2A343E"/>
                <w:sz w:val="16"/>
              </w:rPr>
              <w:t>2</w:t>
            </w:r>
          </w:p>
        </w:tc>
        <w:tc>
          <w:tcPr>
            <w:tcW w:type="dxa" w:w="1843"/>
            <w:vAlign w:val="top"/>
            <w:tcMar>
              <w:top w:w="90" w:type="dxa"/>
              <w:start w:w="90" w:type="dxa"/>
              <w:bottom w:w="90" w:type="dxa"/>
              <w:end w:w="90" w:type="dxa"/>
            </w:tcMar>
            <w:shd w:fill="F1F5F8"/>
          </w:tcPr>
          <w:p>
            <w:pPr>
              <w:spacing w:after="0" w:line="252" w:lineRule="auto"/>
            </w:pPr>
            <w:r>
              <w:rPr>
                <w:rFonts w:ascii="Calibri" w:hAnsi="Calibri"/>
                <w:color w:val="2A343E"/>
                <w:sz w:val="16"/>
              </w:rPr>
              <w:t>Prepare the file</w:t>
            </w:r>
          </w:p>
        </w:tc>
        <w:tc>
          <w:tcPr>
            <w:tcW w:type="dxa" w:w="4392"/>
            <w:vAlign w:val="top"/>
            <w:tcMar>
              <w:top w:w="90" w:type="dxa"/>
              <w:start w:w="90" w:type="dxa"/>
              <w:bottom w:w="90" w:type="dxa"/>
              <w:end w:w="90" w:type="dxa"/>
            </w:tcMar>
            <w:shd w:fill="F1F5F8"/>
          </w:tcPr>
          <w:p>
            <w:pPr>
              <w:spacing w:after="0" w:line="252" w:lineRule="auto"/>
            </w:pPr>
            <w:r>
              <w:rPr>
                <w:rFonts w:ascii="Calibri" w:hAnsi="Calibri"/>
                <w:color w:val="2A343E"/>
                <w:sz w:val="16"/>
              </w:rPr>
              <w:t>Keep the header, replace the example values, remove columns you are not importing, and leave the generated id column out. Save as CSV UTF-8.</w:t>
            </w:r>
          </w:p>
        </w:tc>
        <w:tc>
          <w:tcPr>
            <w:tcW w:type="dxa" w:w="3672"/>
            <w:vAlign w:val="top"/>
            <w:tcMar>
              <w:top w:w="90" w:type="dxa"/>
              <w:start w:w="90" w:type="dxa"/>
              <w:bottom w:w="90" w:type="dxa"/>
              <w:end w:w="90" w:type="dxa"/>
            </w:tcMar>
            <w:shd w:fill="F1F5F8"/>
          </w:tcPr>
          <w:p>
            <w:pPr>
              <w:spacing w:after="0" w:line="252" w:lineRule="auto"/>
            </w:pPr>
            <w:r>
              <w:rPr>
                <w:rFonts w:ascii="Calibri" w:hAnsi="Calibri"/>
                <w:color w:val="2A343E"/>
                <w:sz w:val="16"/>
              </w:rPr>
              <w:t>Every row has the same number of columns; required values are present; foreign keys point to existing records.</w:t>
            </w:r>
          </w:p>
        </w:tc>
      </w:tr>
      <w:tr>
        <w:trPr>
          <w:cantSplit/>
        </w:trPr>
        <w:tc>
          <w:tcPr>
            <w:tcW w:type="dxa" w:w="691"/>
            <w:vAlign w:val="top"/>
            <w:tcMar>
              <w:top w:w="90" w:type="dxa"/>
              <w:start w:w="90" w:type="dxa"/>
              <w:bottom w:w="90" w:type="dxa"/>
              <w:end w:w="90" w:type="dxa"/>
            </w:tcMar>
          </w:tcPr>
          <w:p>
            <w:pPr>
              <w:spacing w:after="0" w:line="252" w:lineRule="auto"/>
            </w:pPr>
            <w:r>
              <w:rPr>
                <w:rFonts w:ascii="Calibri" w:hAnsi="Calibri"/>
                <w:color w:val="2A343E"/>
                <w:sz w:val="16"/>
              </w:rPr>
              <w:t>3</w:t>
            </w:r>
          </w:p>
        </w:tc>
        <w:tc>
          <w:tcPr>
            <w:tcW w:type="dxa" w:w="1843"/>
            <w:vAlign w:val="top"/>
            <w:tcMar>
              <w:top w:w="90" w:type="dxa"/>
              <w:start w:w="90" w:type="dxa"/>
              <w:bottom w:w="90" w:type="dxa"/>
              <w:end w:w="90" w:type="dxa"/>
            </w:tcMar>
          </w:tcPr>
          <w:p>
            <w:pPr>
              <w:spacing w:after="0" w:line="252" w:lineRule="auto"/>
            </w:pPr>
            <w:r>
              <w:rPr>
                <w:rFonts w:ascii="Calibri" w:hAnsi="Calibri"/>
                <w:color w:val="2A343E"/>
                <w:sz w:val="16"/>
              </w:rPr>
              <w:t>Check before import</w:t>
            </w:r>
          </w:p>
        </w:tc>
        <w:tc>
          <w:tcPr>
            <w:tcW w:type="dxa" w:w="4392"/>
            <w:vAlign w:val="top"/>
            <w:tcMar>
              <w:top w:w="90" w:type="dxa"/>
              <w:start w:w="90" w:type="dxa"/>
              <w:bottom w:w="90" w:type="dxa"/>
              <w:end w:w="90" w:type="dxa"/>
            </w:tcMar>
          </w:tcPr>
          <w:p>
            <w:pPr>
              <w:spacing w:after="0" w:line="252" w:lineRule="auto"/>
            </w:pPr>
            <w:r>
              <w:rPr>
                <w:rFonts w:ascii="Calibri" w:hAnsi="Calibri"/>
                <w:color w:val="2A343E"/>
                <w:sz w:val="16"/>
              </w:rPr>
              <w:t>Select the CSV and press Check file. Resolve any row or column errors and check it again.</w:t>
            </w:r>
          </w:p>
        </w:tc>
        <w:tc>
          <w:tcPr>
            <w:tcW w:type="dxa" w:w="3672"/>
            <w:vAlign w:val="top"/>
            <w:tcMar>
              <w:top w:w="90" w:type="dxa"/>
              <w:start w:w="90" w:type="dxa"/>
              <w:bottom w:w="90" w:type="dxa"/>
              <w:end w:w="90" w:type="dxa"/>
            </w:tcMar>
          </w:tcPr>
          <w:p>
            <w:pPr>
              <w:spacing w:after="0" w:line="252" w:lineRule="auto"/>
            </w:pPr>
            <w:r>
              <w:rPr>
                <w:rFonts w:ascii="Calibri" w:hAnsi="Calibri"/>
                <w:color w:val="2A343E"/>
                <w:sz w:val="16"/>
              </w:rPr>
              <w:t>The preview validates up to 500 rows and does not save them.</w:t>
            </w:r>
          </w:p>
        </w:tc>
      </w:tr>
      <w:tr>
        <w:trPr>
          <w:cantSplit/>
        </w:trPr>
        <w:tc>
          <w:tcPr>
            <w:tcW w:type="dxa" w:w="691"/>
            <w:vAlign w:val="top"/>
            <w:tcMar>
              <w:top w:w="90" w:type="dxa"/>
              <w:start w:w="90" w:type="dxa"/>
              <w:bottom w:w="90" w:type="dxa"/>
              <w:end w:w="90" w:type="dxa"/>
            </w:tcMar>
            <w:shd w:fill="F1F5F8"/>
          </w:tcPr>
          <w:p>
            <w:pPr>
              <w:spacing w:after="0" w:line="252" w:lineRule="auto"/>
            </w:pPr>
            <w:r>
              <w:rPr>
                <w:rFonts w:ascii="Calibri" w:hAnsi="Calibri"/>
                <w:color w:val="2A343E"/>
                <w:sz w:val="16"/>
              </w:rPr>
              <w:t>4</w:t>
            </w:r>
          </w:p>
        </w:tc>
        <w:tc>
          <w:tcPr>
            <w:tcW w:type="dxa" w:w="1843"/>
            <w:vAlign w:val="top"/>
            <w:tcMar>
              <w:top w:w="90" w:type="dxa"/>
              <w:start w:w="90" w:type="dxa"/>
              <w:bottom w:w="90" w:type="dxa"/>
              <w:end w:w="90" w:type="dxa"/>
            </w:tcMar>
            <w:shd w:fill="F1F5F8"/>
          </w:tcPr>
          <w:p>
            <w:pPr>
              <w:spacing w:after="0" w:line="252" w:lineRule="auto"/>
            </w:pPr>
            <w:r>
              <w:rPr>
                <w:rFonts w:ascii="Calibri" w:hAnsi="Calibri"/>
                <w:color w:val="2A343E"/>
                <w:sz w:val="16"/>
              </w:rPr>
              <w:t>Import the batch</w:t>
            </w:r>
          </w:p>
        </w:tc>
        <w:tc>
          <w:tcPr>
            <w:tcW w:type="dxa" w:w="4392"/>
            <w:vAlign w:val="top"/>
            <w:tcMar>
              <w:top w:w="90" w:type="dxa"/>
              <w:start w:w="90" w:type="dxa"/>
              <w:bottom w:w="90" w:type="dxa"/>
              <w:end w:w="90" w:type="dxa"/>
            </w:tcMar>
            <w:shd w:fill="F1F5F8"/>
          </w:tcPr>
          <w:p>
            <w:pPr>
              <w:spacing w:after="0" w:line="252" w:lineRule="auto"/>
            </w:pPr>
            <w:r>
              <w:rPr>
                <w:rFonts w:ascii="Calibri" w:hAnsi="Calibri"/>
                <w:color w:val="2A343E"/>
                <w:sz w:val="16"/>
              </w:rPr>
              <w:t>After a clean preview, press Import and confirm the row count. Reload the selected table.</w:t>
            </w:r>
          </w:p>
        </w:tc>
        <w:tc>
          <w:tcPr>
            <w:tcW w:type="dxa" w:w="3672"/>
            <w:vAlign w:val="top"/>
            <w:tcMar>
              <w:top w:w="90" w:type="dxa"/>
              <w:start w:w="90" w:type="dxa"/>
              <w:bottom w:w="90" w:type="dxa"/>
              <w:end w:w="90" w:type="dxa"/>
            </w:tcMar>
            <w:shd w:fill="F1F5F8"/>
          </w:tcPr>
          <w:p>
            <w:pPr>
              <w:spacing w:after="0" w:line="252" w:lineRule="auto"/>
            </w:pPr>
            <w:r>
              <w:rPr>
                <w:rFonts w:ascii="Calibri" w:hAnsi="Calibri"/>
                <w:color w:val="2A343E"/>
                <w:sz w:val="16"/>
              </w:rPr>
              <w:t>The entire batch is committed together. If any row fails, no records from that batch are committed.</w:t>
            </w:r>
          </w:p>
        </w:tc>
      </w:tr>
      <w:tr>
        <w:trPr>
          <w:cantSplit/>
        </w:trPr>
        <w:tc>
          <w:tcPr>
            <w:tcW w:type="dxa" w:w="691"/>
            <w:vAlign w:val="top"/>
            <w:tcMar>
              <w:top w:w="90" w:type="dxa"/>
              <w:start w:w="90" w:type="dxa"/>
              <w:bottom w:w="90" w:type="dxa"/>
              <w:end w:w="90" w:type="dxa"/>
            </w:tcMar>
          </w:tcPr>
          <w:p>
            <w:pPr>
              <w:spacing w:after="0" w:line="252" w:lineRule="auto"/>
            </w:pPr>
            <w:r>
              <w:rPr>
                <w:rFonts w:ascii="Calibri" w:hAnsi="Calibri"/>
                <w:color w:val="2A343E"/>
                <w:sz w:val="16"/>
              </w:rPr>
              <w:t>5</w:t>
            </w:r>
          </w:p>
        </w:tc>
        <w:tc>
          <w:tcPr>
            <w:tcW w:type="dxa" w:w="1843"/>
            <w:vAlign w:val="top"/>
            <w:tcMar>
              <w:top w:w="90" w:type="dxa"/>
              <w:start w:w="90" w:type="dxa"/>
              <w:bottom w:w="90" w:type="dxa"/>
              <w:end w:w="90" w:type="dxa"/>
            </w:tcMar>
          </w:tcPr>
          <w:p>
            <w:pPr>
              <w:spacing w:after="0" w:line="252" w:lineRule="auto"/>
            </w:pPr>
            <w:r>
              <w:rPr>
                <w:rFonts w:ascii="Calibri" w:hAnsi="Calibri"/>
                <w:color w:val="2A343E"/>
                <w:sz w:val="16"/>
              </w:rPr>
              <w:t>Verify the result</w:t>
            </w:r>
          </w:p>
        </w:tc>
        <w:tc>
          <w:tcPr>
            <w:tcW w:type="dxa" w:w="4392"/>
            <w:vAlign w:val="top"/>
            <w:tcMar>
              <w:top w:w="90" w:type="dxa"/>
              <w:start w:w="90" w:type="dxa"/>
              <w:bottom w:w="90" w:type="dxa"/>
              <w:end w:w="90" w:type="dxa"/>
            </w:tcMar>
          </w:tcPr>
          <w:p>
            <w:pPr>
              <w:spacing w:after="0" w:line="252" w:lineRule="auto"/>
            </w:pPr>
            <w:r>
              <w:rPr>
                <w:rFonts w:ascii="Calibri" w:hAnsi="Calibri"/>
                <w:color w:val="2A343E"/>
                <w:sz w:val="16"/>
              </w:rPr>
              <w:t>Compare the new rows with the CSV, check related workflows and review the audit log.</w:t>
            </w:r>
          </w:p>
        </w:tc>
        <w:tc>
          <w:tcPr>
            <w:tcW w:type="dxa" w:w="3672"/>
            <w:vAlign w:val="top"/>
            <w:tcMar>
              <w:top w:w="90" w:type="dxa"/>
              <w:start w:w="90" w:type="dxa"/>
              <w:bottom w:w="90" w:type="dxa"/>
              <w:end w:w="90" w:type="dxa"/>
            </w:tcMar>
          </w:tcPr>
          <w:p>
            <w:pPr>
              <w:spacing w:after="0" w:line="252" w:lineRule="auto"/>
            </w:pPr>
            <w:r>
              <w:rPr>
                <w:rFonts w:ascii="Calibri" w:hAnsi="Calibri"/>
                <w:color w:val="2A343E"/>
                <w:sz w:val="16"/>
              </w:rPr>
              <w:t>Imported rows appear once and the audit log identifies the table and count.</w:t>
            </w:r>
          </w:p>
        </w:tc>
      </w:tr>
      <w:tr>
        <w:trPr>
          <w:cantSplit/>
        </w:trPr>
        <w:tc>
          <w:tcPr>
            <w:tcW w:type="dxa" w:w="691"/>
            <w:vAlign w:val="top"/>
            <w:tcMar>
              <w:top w:w="90" w:type="dxa"/>
              <w:start w:w="90" w:type="dxa"/>
              <w:bottom w:w="90" w:type="dxa"/>
              <w:end w:w="90" w:type="dxa"/>
            </w:tcMar>
            <w:shd w:fill="F1F5F8"/>
          </w:tcPr>
          <w:p>
            <w:pPr>
              <w:spacing w:after="0" w:line="252" w:lineRule="auto"/>
            </w:pPr>
            <w:r>
              <w:rPr>
                <w:rFonts w:ascii="Calibri" w:hAnsi="Calibri"/>
                <w:color w:val="2A343E"/>
                <w:sz w:val="16"/>
              </w:rPr>
              <w:t>6</w:t>
            </w:r>
          </w:p>
        </w:tc>
        <w:tc>
          <w:tcPr>
            <w:tcW w:type="dxa" w:w="1843"/>
            <w:vAlign w:val="top"/>
            <w:tcMar>
              <w:top w:w="90" w:type="dxa"/>
              <w:start w:w="90" w:type="dxa"/>
              <w:bottom w:w="90" w:type="dxa"/>
              <w:end w:w="90" w:type="dxa"/>
            </w:tcMar>
            <w:shd w:fill="F1F5F8"/>
          </w:tcPr>
          <w:p>
            <w:pPr>
              <w:spacing w:after="0" w:line="252" w:lineRule="auto"/>
            </w:pPr>
            <w:r>
              <w:rPr>
                <w:rFonts w:ascii="Calibri" w:hAnsi="Calibri"/>
                <w:color w:val="2A343E"/>
                <w:sz w:val="16"/>
              </w:rPr>
              <w:t>Respect protected tables</w:t>
            </w:r>
          </w:p>
        </w:tc>
        <w:tc>
          <w:tcPr>
            <w:tcW w:type="dxa" w:w="4392"/>
            <w:vAlign w:val="top"/>
            <w:tcMar>
              <w:top w:w="90" w:type="dxa"/>
              <w:start w:w="90" w:type="dxa"/>
              <w:bottom w:w="90" w:type="dxa"/>
              <w:end w:w="90" w:type="dxa"/>
            </w:tcMar>
            <w:shd w:fill="F1F5F8"/>
          </w:tcPr>
          <w:p>
            <w:pPr>
              <w:spacing w:after="0" w:line="252" w:lineRule="auto"/>
            </w:pPr>
            <w:r>
              <w:rPr>
                <w:rFonts w:ascii="Calibri" w:hAnsi="Calibri"/>
                <w:color w:val="2A343E"/>
                <w:sz w:val="16"/>
              </w:rPr>
              <w:t>Use the dedicated admin, payment, bank, settlement, audit, login and media screens for protected data.</w:t>
            </w:r>
          </w:p>
        </w:tc>
        <w:tc>
          <w:tcPr>
            <w:tcW w:type="dxa" w:w="3672"/>
            <w:vAlign w:val="top"/>
            <w:tcMar>
              <w:top w:w="90" w:type="dxa"/>
              <w:start w:w="90" w:type="dxa"/>
              <w:bottom w:w="90" w:type="dxa"/>
              <w:end w:w="90" w:type="dxa"/>
            </w:tcMar>
            <w:shd w:fill="F1F5F8"/>
          </w:tcPr>
          <w:p>
            <w:pPr>
              <w:spacing w:after="0" w:line="252" w:lineRule="auto"/>
            </w:pPr>
            <w:r>
              <w:rPr>
                <w:rFonts w:ascii="Calibri" w:hAnsi="Calibri"/>
                <w:color w:val="2A343E"/>
                <w:sz w:val="16"/>
              </w:rPr>
              <w:t>Protected tables reject CSV imports; CSV cannot create paid transactions, payout records, credentials or audit evidence.</w:t>
            </w:r>
          </w:p>
        </w:tc>
      </w:tr>
    </w:tbl>
    <w:p>
      <w:pPr>
        <w:spacing w:before="100"/>
      </w:pPr>
      <w:r>
        <w:rPr>
          <w:b/>
        </w:rPr>
        <w:t xml:space="preserve">Important. </w:t>
      </w:r>
      <w:r>
        <w:t>Donation CSVs omit payment status, payment method, bank transfer and transaction reference fields. Imported donations are not treated as paid. Payment, registration, bank reconciliation and settlement tables must use their application workflows.</w:t>
      </w:r>
    </w:p>
    <w:p>
      <w:pPr>
        <w:pStyle w:val="Heading1"/>
      </w:pPr>
      <w:r>
        <w:t>CSV sample file index</w:t>
      </w:r>
    </w:p>
    <w:p>
      <w:r>
        <w:t>The sample archive has one CSV per database table, including reference-only files for tables that cannot be imported. Use the import column to identify whether the platform accepts a bulk upload for that table.</w:t>
      </w:r>
    </w:p>
    <w:tbl>
      <w:tblPr>
        <w:tblStyle w:val="TableGrid"/>
        <w:tblW w:type="auto" w:w="0"/>
        <w:jc w:val="center"/>
        <w:tblLayout w:type="fixed"/>
        <w:tblLook w:firstColumn="1" w:firstRow="1" w:lastColumn="0" w:lastRow="0" w:noHBand="0" w:noVBand="1" w:val="04A0"/>
      </w:tblPr>
      <w:tblGrid>
        <w:gridCol w:w="3523"/>
        <w:gridCol w:w="3523"/>
        <w:gridCol w:w="3523"/>
      </w:tblGrid>
      <w:tr>
        <w:trPr>
          <w:tblHeader w:val="true"/>
        </w:trPr>
        <w:tc>
          <w:tcPr>
            <w:tcW w:type="dxa" w:w="3960"/>
            <w:vAlign w:val="center"/>
            <w:shd w:fill="183B5B"/>
            <w:tcMar>
              <w:top w:w="120" w:type="dxa"/>
              <w:start w:w="100" w:type="dxa"/>
              <w:bottom w:w="120" w:type="dxa"/>
              <w:end w:w="100" w:type="dxa"/>
            </w:tcMar>
          </w:tcPr>
          <w:p>
            <w:pPr>
              <w:spacing w:after="0"/>
            </w:pPr>
            <w:r>
              <w:rPr>
                <w:rFonts w:ascii="Calibri" w:hAnsi="Calibri"/>
                <w:b/>
                <w:color w:val="FFFFFF"/>
                <w:sz w:val="15"/>
              </w:rPr>
              <w:t>Database table</w:t>
            </w:r>
          </w:p>
        </w:tc>
        <w:tc>
          <w:tcPr>
            <w:tcW w:type="dxa" w:w="3816"/>
            <w:vAlign w:val="center"/>
            <w:shd w:fill="183B5B"/>
            <w:tcMar>
              <w:top w:w="120" w:type="dxa"/>
              <w:start w:w="100" w:type="dxa"/>
              <w:bottom w:w="120" w:type="dxa"/>
              <w:end w:w="100" w:type="dxa"/>
            </w:tcMar>
          </w:tcPr>
          <w:p>
            <w:pPr>
              <w:spacing w:after="0"/>
            </w:pPr>
            <w:r>
              <w:rPr>
                <w:rFonts w:ascii="Calibri" w:hAnsi="Calibri"/>
                <w:b/>
                <w:color w:val="FFFFFF"/>
                <w:sz w:val="15"/>
              </w:rPr>
              <w:t>Sample CSV</w:t>
            </w:r>
          </w:p>
        </w:tc>
        <w:tc>
          <w:tcPr>
            <w:tcW w:type="dxa" w:w="2822"/>
            <w:vAlign w:val="center"/>
            <w:shd w:fill="183B5B"/>
            <w:tcMar>
              <w:top w:w="120" w:type="dxa"/>
              <w:start w:w="100" w:type="dxa"/>
              <w:bottom w:w="120" w:type="dxa"/>
              <w:end w:w="100" w:type="dxa"/>
            </w:tcMar>
          </w:tcPr>
          <w:p>
            <w:pPr>
              <w:spacing w:after="0"/>
            </w:pPr>
            <w:r>
              <w:rPr>
                <w:rFonts w:ascii="Calibri" w:hAnsi="Calibri"/>
                <w:b/>
                <w:color w:val="FFFFFF"/>
                <w:sz w:val="15"/>
              </w:rPr>
              <w:t>Bulk upload</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kutumb_activities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kutumb_activities.csv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kutumb_activity_registrations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kutumb_activity_registrations.csv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kutumb_admin_users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kutumb_admin_users.csv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kutumb_attendees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kutumb_attendees.csv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kutumb_auction_items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kutumb_auction_items.csv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kutumb_audit_log</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kutumb_audit_log.csv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kutumb_bank_reconciliations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kutumb_bank_reconciliations.csv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kutumb_bank_statement_lines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kutumb_bank_statement_lines.csv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kutumb_bank_transactions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kutumb_bank_transactions.csv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kutumb_charity_transfers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kutumb_charity_transfers.csv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kutumb_checkin_codes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kutumb_checkin_codes.csv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kutumb_donation_payments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kutumb_donation_payments.csv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kutumb_donations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kutumb_donations.csv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kutumb_drive_imports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kutumb_drive_imports.csv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kutumb_event_addons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kutumb_event_addons.csv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kutumb_event_checklist</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kutumb_event_checklist.csv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kutumb_event_codes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kutumb_event_codes.csv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kutumb_event_coupons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kutumb_event_coupons.csv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kutumb_event_impact_notes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kutumb_event_impact_notes.csv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kutumb_event_page_views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kutumb_event_page_views.csv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kutumb_event_registrations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kutumb_event_registrations.csv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kutumb_event_seating_settings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kutumb_event_seating_settings.csv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kutumb_event_seats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kutumb_event_seats.csv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kutumb_event_sponsors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kutumb_event_sponsors.csv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kutumb_fundraising_pages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kutumb_fundraising_pages.csv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kutumb_fundraising_teams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kutumb_fundraising_teams.csv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kutumb_media_files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kutumb_media_files.csv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kutumb_members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kutumb_members.csv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kutumb_order_items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kutumb_order_items.csv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kutumb_orders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kutumb_orders.csv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kutumb_organisation_campaigns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kutumb_organisation_campaigns.csv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kutumb_organisation_users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kutumb_organisation_users.csv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kutumb_organisation_verification_documents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kutumb_organisation_verification_documents.csv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kutumb_organisation_verification_history</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kutumb_organisation_verification_history.csv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kutumb_organisations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kutumb_organisations.csv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kutumb_past_event_media</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kutumb_past_event_media.csv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kutumb_past_events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kutumb_past_events.csv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kutumb_platform_settings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kutumb_platform_settings.csv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kutumb_registration_attendees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kutumb_registration_attendees.csv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kutumb_registration_notifications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kutumb_registration_notifications.csv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kutumb_registration_payments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kutumb_registration_payments.csv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kutumb_schema_migrations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kutumb_schema_migrations.csv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kutumb_settlement_ledger</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kutumb_settlement_ledger.csv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kutumb_sponsor_packages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kutumb_sponsor_packages.csv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kutumb_supporter_login_links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kutumb_supporter_login_links.csv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kutumb_supporter_merge_log</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kutumb_supporter_merge_log.csv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kutumb_supporters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kutumb_supporters.csv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kutumb_team_profiles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kutumb_team_profiles.csv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kutumb_ticket_refunds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kutumb_ticket_refunds.csv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No - protected</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kutumb_ticket_types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kutumb_ticket_types.csv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kutumb_upcoming_events</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kutumb_upcoming_events.csv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shd w:fill="F1F5F8"/>
          </w:tcPr>
          <w:p>
            <w:pPr>
              <w:spacing w:after="0" w:line="252" w:lineRule="auto"/>
            </w:pPr>
            <w:r>
              <w:rPr>
                <w:rFonts w:ascii="Calibri" w:hAnsi="Calibri"/>
                <w:color w:val="2A343E"/>
                <w:sz w:val="15"/>
              </w:rPr>
              <w:t>kutumb_volunteer_applications</w:t>
            </w:r>
          </w:p>
        </w:tc>
        <w:tc>
          <w:tcPr>
            <w:tcW w:type="dxa" w:w="3816"/>
            <w:vAlign w:val="top"/>
            <w:tcMar>
              <w:top w:w="90" w:type="dxa"/>
              <w:start w:w="90" w:type="dxa"/>
              <w:bottom w:w="90" w:type="dxa"/>
              <w:end w:w="90" w:type="dxa"/>
            </w:tcMar>
            <w:shd w:fill="F1F5F8"/>
          </w:tcPr>
          <w:p>
            <w:pPr>
              <w:spacing w:after="0" w:line="252" w:lineRule="auto"/>
            </w:pPr>
            <w:r>
              <w:rPr>
                <w:rFonts w:ascii="Calibri" w:hAnsi="Calibri"/>
                <w:color w:val="2A343E"/>
                <w:sz w:val="15"/>
              </w:rPr>
              <w:t>kutumb_volunteer_applications.csv</w:t>
            </w:r>
          </w:p>
        </w:tc>
        <w:tc>
          <w:tcPr>
            <w:tcW w:type="dxa" w:w="2822"/>
            <w:vAlign w:val="top"/>
            <w:tcMar>
              <w:top w:w="90" w:type="dxa"/>
              <w:start w:w="90" w:type="dxa"/>
              <w:bottom w:w="90" w:type="dxa"/>
              <w:end w:w="90" w:type="dxa"/>
            </w:tcMar>
            <w:shd w:fill="F1F5F8"/>
          </w:tcPr>
          <w:p>
            <w:pPr>
              <w:spacing w:after="0" w:line="252" w:lineRule="auto"/>
            </w:pPr>
            <w:r>
              <w:rPr>
                <w:rFonts w:ascii="Calibri" w:hAnsi="Calibri"/>
                <w:color w:val="2A343E"/>
                <w:sz w:val="15"/>
              </w:rPr>
              <w:t>Yes - platform admin</w:t>
            </w:r>
          </w:p>
        </w:tc>
      </w:tr>
      <w:tr>
        <w:trPr>
          <w:cantSplit/>
        </w:trPr>
        <w:tc>
          <w:tcPr>
            <w:tcW w:type="dxa" w:w="3960"/>
            <w:vAlign w:val="top"/>
            <w:tcMar>
              <w:top w:w="90" w:type="dxa"/>
              <w:start w:w="90" w:type="dxa"/>
              <w:bottom w:w="90" w:type="dxa"/>
              <w:end w:w="90" w:type="dxa"/>
            </w:tcMar>
          </w:tcPr>
          <w:p>
            <w:pPr>
              <w:spacing w:after="0" w:line="252" w:lineRule="auto"/>
            </w:pPr>
            <w:r>
              <w:rPr>
                <w:rFonts w:ascii="Calibri" w:hAnsi="Calibri"/>
                <w:color w:val="2A343E"/>
                <w:sz w:val="15"/>
              </w:rPr>
              <w:t>kutumb_waitlist</w:t>
            </w:r>
          </w:p>
        </w:tc>
        <w:tc>
          <w:tcPr>
            <w:tcW w:type="dxa" w:w="3816"/>
            <w:vAlign w:val="top"/>
            <w:tcMar>
              <w:top w:w="90" w:type="dxa"/>
              <w:start w:w="90" w:type="dxa"/>
              <w:bottom w:w="90" w:type="dxa"/>
              <w:end w:w="90" w:type="dxa"/>
            </w:tcMar>
          </w:tcPr>
          <w:p>
            <w:pPr>
              <w:spacing w:after="0" w:line="252" w:lineRule="auto"/>
            </w:pPr>
            <w:r>
              <w:rPr>
                <w:rFonts w:ascii="Calibri" w:hAnsi="Calibri"/>
                <w:color w:val="2A343E"/>
                <w:sz w:val="15"/>
              </w:rPr>
              <w:t>kutumb_waitlist.csv</w:t>
            </w:r>
          </w:p>
        </w:tc>
        <w:tc>
          <w:tcPr>
            <w:tcW w:type="dxa" w:w="2822"/>
            <w:vAlign w:val="top"/>
            <w:tcMar>
              <w:top w:w="90" w:type="dxa"/>
              <w:start w:w="90" w:type="dxa"/>
              <w:bottom w:w="90" w:type="dxa"/>
              <w:end w:w="90" w:type="dxa"/>
            </w:tcMar>
          </w:tcPr>
          <w:p>
            <w:pPr>
              <w:spacing w:after="0" w:line="252" w:lineRule="auto"/>
            </w:pPr>
            <w:r>
              <w:rPr>
                <w:rFonts w:ascii="Calibri" w:hAnsi="Calibri"/>
                <w:color w:val="2A343E"/>
                <w:sz w:val="15"/>
              </w:rPr>
              <w:t>Yes - platform admin</w:t>
            </w:r>
          </w:p>
        </w:tc>
      </w:tr>
    </w:tbl>
    <w:p>
      <w:pPr>
        <w:pStyle w:val="Heading1"/>
      </w:pPr>
      <w:r>
        <w:t>Completion record</w:t>
      </w:r>
    </w:p>
    <w:tbl>
      <w:tblPr>
        <w:tblStyle w:val="TableGrid"/>
        <w:tblW w:type="auto" w:w="0"/>
        <w:jc w:val="center"/>
        <w:tblLayout w:type="fixed"/>
        <w:tblLook w:firstColumn="1" w:firstRow="1" w:lastColumn="0" w:lastRow="0" w:noHBand="0" w:noVBand="1" w:val="04A0"/>
      </w:tblPr>
      <w:tblGrid>
        <w:gridCol w:w="2642"/>
        <w:gridCol w:w="2642"/>
        <w:gridCol w:w="2642"/>
        <w:gridCol w:w="2642"/>
      </w:tblGrid>
      <w:tr>
        <w:trPr>
          <w:tblHeader w:val="true"/>
        </w:trPr>
        <w:tc>
          <w:tcPr>
            <w:tcW w:type="dxa" w:w="2520"/>
            <w:vAlign w:val="center"/>
            <w:shd w:fill="183B5B"/>
            <w:tcMar>
              <w:top w:w="120" w:type="dxa"/>
              <w:start w:w="100" w:type="dxa"/>
              <w:bottom w:w="120" w:type="dxa"/>
              <w:end w:w="100" w:type="dxa"/>
            </w:tcMar>
          </w:tcPr>
          <w:p>
            <w:pPr>
              <w:spacing w:after="0"/>
            </w:pPr>
            <w:r>
              <w:rPr>
                <w:rFonts w:ascii="Calibri" w:hAnsi="Calibri"/>
                <w:b/>
                <w:color w:val="FFFFFF"/>
                <w:sz w:val="17"/>
              </w:rPr>
              <w:t>Environment</w:t>
            </w:r>
          </w:p>
        </w:tc>
        <w:tc>
          <w:tcPr>
            <w:tcW w:type="dxa" w:w="2304"/>
            <w:vAlign w:val="center"/>
            <w:shd w:fill="183B5B"/>
            <w:tcMar>
              <w:top w:w="120" w:type="dxa"/>
              <w:start w:w="100" w:type="dxa"/>
              <w:bottom w:w="120" w:type="dxa"/>
              <w:end w:w="100" w:type="dxa"/>
            </w:tcMar>
          </w:tcPr>
          <w:p>
            <w:pPr>
              <w:spacing w:after="0"/>
            </w:pPr>
            <w:r>
              <w:rPr>
                <w:rFonts w:ascii="Calibri" w:hAnsi="Calibri"/>
                <w:b/>
                <w:color w:val="FFFFFF"/>
                <w:sz w:val="17"/>
              </w:rPr>
              <w:t>Tester</w:t>
            </w:r>
          </w:p>
        </w:tc>
        <w:tc>
          <w:tcPr>
            <w:tcW w:type="dxa" w:w="1728"/>
            <w:vAlign w:val="center"/>
            <w:shd w:fill="183B5B"/>
            <w:tcMar>
              <w:top w:w="120" w:type="dxa"/>
              <w:start w:w="100" w:type="dxa"/>
              <w:bottom w:w="120" w:type="dxa"/>
              <w:end w:w="100" w:type="dxa"/>
            </w:tcMar>
          </w:tcPr>
          <w:p>
            <w:pPr>
              <w:spacing w:after="0"/>
            </w:pPr>
            <w:r>
              <w:rPr>
                <w:rFonts w:ascii="Calibri" w:hAnsi="Calibri"/>
                <w:b/>
                <w:color w:val="FFFFFF"/>
                <w:sz w:val="17"/>
              </w:rPr>
              <w:t>Date</w:t>
            </w:r>
          </w:p>
        </w:tc>
        <w:tc>
          <w:tcPr>
            <w:tcW w:type="dxa" w:w="4032"/>
            <w:vAlign w:val="center"/>
            <w:shd w:fill="183B5B"/>
            <w:tcMar>
              <w:top w:w="120" w:type="dxa"/>
              <w:start w:w="100" w:type="dxa"/>
              <w:bottom w:w="120" w:type="dxa"/>
              <w:end w:w="100" w:type="dxa"/>
            </w:tcMar>
          </w:tcPr>
          <w:p>
            <w:pPr>
              <w:spacing w:after="0"/>
            </w:pPr>
            <w:r>
              <w:rPr>
                <w:rFonts w:ascii="Calibri" w:hAnsi="Calibri"/>
                <w:b/>
                <w:color w:val="FFFFFF"/>
                <w:sz w:val="17"/>
              </w:rPr>
              <w:t>Result / notes</w:t>
            </w:r>
          </w:p>
        </w:tc>
      </w:tr>
      <w:tr>
        <w:trPr>
          <w:cantSplit/>
        </w:trPr>
        <w:tc>
          <w:tcPr>
            <w:tcW w:type="dxa" w:w="2520"/>
            <w:vAlign w:val="top"/>
            <w:tcMar>
              <w:top w:w="90" w:type="dxa"/>
              <w:start w:w="90" w:type="dxa"/>
              <w:bottom w:w="90" w:type="dxa"/>
              <w:end w:w="90" w:type="dxa"/>
            </w:tcMar>
          </w:tcPr>
          <w:p>
            <w:pPr>
              <w:spacing w:after="0" w:line="252" w:lineRule="auto"/>
            </w:pPr>
            <w:r>
              <w:rPr>
                <w:rFonts w:ascii="Calibri" w:hAnsi="Calibri"/>
                <w:color w:val="2A343E"/>
                <w:sz w:val="17"/>
              </w:rPr>
            </w:r>
          </w:p>
        </w:tc>
        <w:tc>
          <w:tcPr>
            <w:tcW w:type="dxa" w:w="2304"/>
            <w:vAlign w:val="top"/>
            <w:tcMar>
              <w:top w:w="90" w:type="dxa"/>
              <w:start w:w="90" w:type="dxa"/>
              <w:bottom w:w="90" w:type="dxa"/>
              <w:end w:w="90" w:type="dxa"/>
            </w:tcMar>
          </w:tcPr>
          <w:p>
            <w:pPr>
              <w:spacing w:after="0" w:line="252" w:lineRule="auto"/>
            </w:pPr>
            <w:r>
              <w:rPr>
                <w:rFonts w:ascii="Calibri" w:hAnsi="Calibri"/>
                <w:color w:val="2A343E"/>
                <w:sz w:val="17"/>
              </w:rPr>
            </w:r>
          </w:p>
        </w:tc>
        <w:tc>
          <w:tcPr>
            <w:tcW w:type="dxa" w:w="1728"/>
            <w:vAlign w:val="top"/>
            <w:tcMar>
              <w:top w:w="90" w:type="dxa"/>
              <w:start w:w="90" w:type="dxa"/>
              <w:bottom w:w="90" w:type="dxa"/>
              <w:end w:w="90" w:type="dxa"/>
            </w:tcMar>
          </w:tcPr>
          <w:p>
            <w:pPr>
              <w:spacing w:after="0" w:line="252" w:lineRule="auto"/>
            </w:pPr>
            <w:r>
              <w:rPr>
                <w:rFonts w:ascii="Calibri" w:hAnsi="Calibri"/>
                <w:color w:val="2A343E"/>
                <w:sz w:val="17"/>
              </w:rPr>
            </w:r>
          </w:p>
        </w:tc>
        <w:tc>
          <w:tcPr>
            <w:tcW w:type="dxa" w:w="4032"/>
            <w:vAlign w:val="top"/>
            <w:tcMar>
              <w:top w:w="90" w:type="dxa"/>
              <w:start w:w="90" w:type="dxa"/>
              <w:bottom w:w="90" w:type="dxa"/>
              <w:end w:w="90" w:type="dxa"/>
            </w:tcMar>
          </w:tcPr>
          <w:p>
            <w:pPr>
              <w:spacing w:after="0" w:line="252" w:lineRule="auto"/>
            </w:pPr>
            <w:r>
              <w:rPr>
                <w:rFonts w:ascii="Calibri" w:hAnsi="Calibri"/>
                <w:color w:val="2A343E"/>
                <w:sz w:val="17"/>
              </w:rPr>
            </w:r>
          </w:p>
        </w:tc>
      </w:tr>
    </w:tbl>
    <w:sectPr w:rsidR="00FC693F" w:rsidRPr="0006063C" w:rsidSect="00034616">
      <w:footerReference w:type="default" r:id="rId9"/>
      <w:pgSz w:w="12240" w:h="15840"/>
      <w:pgMar w:top="893" w:right="835" w:bottom="893"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8"/>
        <w:sz w:val="16"/>
      </w:rPr>
      <w:t xml:space="preserve">KutumbLink  |  Platform test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color w:val="2A343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83B5B"/>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8617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Calibri" w:hAnsi="Calibri"/>
      <w:b/>
      <w:color w:val="183B5B"/>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KutumbLink Platform Test Guide</dc:title>
  <dc:subject>Step-by-step capability tests and CSV import guidance</dc:subject>
  <dc:creator>KutumbLink</dc:creator>
  <cp:keywords/>
  <dc:description>generated by python-docx</dc:description>
  <cp:lastModifiedBy/>
  <cp:revision>1</cp:revision>
  <dcterms:created xsi:type="dcterms:W3CDTF">2013-12-23T23:15:00Z</dcterms:created>
  <dcterms:modified xsi:type="dcterms:W3CDTF">2013-12-23T23:15:00Z</dcterms:modified>
  <cp:category/>
</cp:coreProperties>
</file>