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Bdr>
          <w:top w:val="single" w:color="1E40AF" w:sz="12" w:space="1"/>
        </w:pBdr>
        <w:spacing w:after="400"/>
        <w:jc w:val="center"/>
      </w:pPr>
    </w:p>
    <w:p>
      <w:pPr>
        <w:spacing w:after="100"/>
        <w:jc w:val="center"/>
      </w:pPr>
      <w:r>
        <w:rPr>
          <w:rFonts w:ascii="Arial" w:cs="Arial" w:eastAsia="Arial" w:hAnsi="Arial"/>
          <w:b/>
          <w:bCs/>
          <w:color w:val="1E40AF"/>
          <w:sz w:val="52"/>
          <w:szCs w:val="52"/>
        </w:rPr>
        <w:t xml:space="preserve">FINSHIELD</w:t>
      </w:r>
    </w:p>
    <w:p>
      <w:pPr>
        <w:spacing w:after="600"/>
        <w:jc w:val="center"/>
      </w:pPr>
      <w:r>
        <w:rPr>
          <w:rFonts w:ascii="Arial" w:cs="Arial" w:eastAsia="Arial" w:hAnsi="Arial"/>
          <w:i/>
          <w:iCs/>
          <w:color w:val="64748B"/>
          <w:sz w:val="26"/>
          <w:szCs w:val="26"/>
        </w:rPr>
        <w:t xml:space="preserve">Your Family’s Financial Safety Net</w:t>
      </w:r>
    </w:p>
    <w:p>
      <w:pPr>
        <w:spacing w:after="80"/>
        <w:jc w:val="center"/>
      </w:pPr>
      <w:r>
        <w:rPr>
          <w:rFonts w:ascii="Arial" w:cs="Arial" w:eastAsia="Arial" w:hAnsi="Arial"/>
          <w:b/>
          <w:bCs/>
          <w:color w:val="1E293B"/>
          <w:sz w:val="36"/>
          <w:szCs w:val="36"/>
        </w:rPr>
        <w:t xml:space="preserve">Business Plan</w:t>
      </w:r>
    </w:p>
    <w:p>
      <w:pPr>
        <w:spacing w:after="600"/>
        <w:jc w:val="center"/>
      </w:pPr>
      <w:r>
        <w:rPr>
          <w:rFonts w:ascii="Arial" w:cs="Arial" w:eastAsia="Arial" w:hAnsi="Arial"/>
          <w:color w:val="64748B"/>
          <w:sz w:val="24"/>
          <w:szCs w:val="24"/>
        </w:rPr>
        <w:t xml:space="preserve">FY 2026–27</w:t>
      </w:r>
    </w:p>
    <w:p>
      <w:pPr>
        <w:pBdr>
          <w:bottom w:val="single" w:color="1E40AF" w:sz="12" w:space="1"/>
        </w:pBdr>
        <w:spacing w:after="400"/>
        <w:jc w:val="center"/>
      </w:pPr>
    </w:p>
    <w:p>
      <w:pPr>
        <w:spacing w:after="60"/>
        <w:jc w:val="center"/>
      </w:pPr>
      <w:r>
        <w:rPr>
          <w:rFonts w:ascii="Arial" w:cs="Arial" w:eastAsia="Arial" w:hAnsi="Arial"/>
          <w:color w:val="1E293B"/>
          <w:sz w:val="22"/>
          <w:szCs w:val="22"/>
        </w:rPr>
        <w:t xml:space="preserve">Prepared by: Shubham</w:t>
      </w:r>
    </w:p>
    <w:p>
      <w:pPr>
        <w:spacing w:after="60"/>
        <w:jc w:val="center"/>
      </w:pPr>
      <w:r>
        <w:rPr>
          <w:rFonts w:ascii="Arial" w:cs="Arial" w:eastAsia="Arial" w:hAnsi="Arial"/>
          <w:color w:val="64748B"/>
          <w:sz w:val="22"/>
          <w:szCs w:val="22"/>
        </w:rPr>
        <w:t xml:space="preserve">Date: March 2026</w:t>
      </w:r>
    </w:p>
    <w:p>
      <w:pPr>
        <w:jc w:val="center"/>
      </w:pPr>
      <w:r>
        <w:rPr>
          <w:rFonts w:ascii="Arial" w:cs="Arial" w:eastAsia="Arial" w:hAnsi="Arial"/>
          <w:b/>
          <w:bCs/>
          <w:color w:val="D97706"/>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pBdr>
          <w:bottom w:val="single" w:color="1E40AF" w:sz="4" w:space="6"/>
        </w:pBdr>
        <w:spacing w:before="360" w:after="200"/>
      </w:pPr>
      <w:r>
        <w:rPr>
          <w:rFonts w:ascii="Arial" w:cs="Arial" w:eastAsia="Arial" w:hAnsi="Arial"/>
          <w:b/>
          <w:bCs/>
          <w:color w:val="1E40AF"/>
          <w:sz w:val="28"/>
          <w:szCs w:val="28"/>
        </w:rPr>
        <w:t xml:space="preserve">1. Executive Summary</w:t>
      </w:r>
    </w:p>
    <w:p>
      <w:pPr>
        <w:spacing w:after="140" w:line="300"/>
      </w:pPr>
      <w:r>
        <w:rPr>
          <w:rFonts w:ascii="Arial" w:cs="Arial" w:eastAsia="Arial" w:hAnsi="Arial"/>
          <w:color w:val="1E293B"/>
          <w:sz w:val="21"/>
          <w:szCs w:val="21"/>
        </w:rPr>
        <w:t xml:space="preserve">KutumbKosh is a secure digital vault designed for Indian families to store, organize, and share information about all their financial holdings — bank accounts, investments, insurance policies, loans, and more — along with nominee details and emergency access instructions.</w:t>
      </w:r>
    </w:p>
    <w:p>
      <w:pPr>
        <w:spacing w:after="140" w:line="300"/>
      </w:pPr>
      <w:r>
        <w:rPr>
          <w:rFonts w:ascii="Arial" w:cs="Arial" w:eastAsia="Arial" w:hAnsi="Arial"/>
          <w:color w:val="1E293B"/>
          <w:sz w:val="21"/>
          <w:szCs w:val="21"/>
        </w:rPr>
        <w:t xml:space="preserve">The core problem: when something happens to the primary account holder, nominees and family members have no centralized way to discover all financial holdings. Assets worth lakhs go unclaimed every year in India because families simply didn’t know they existed.</w:t>
      </w:r>
    </w:p>
    <w:p>
      <w:pPr>
        <w:spacing w:after="140" w:line="300"/>
      </w:pPr>
      <w:r>
        <w:rPr>
          <w:rFonts w:ascii="Arial" w:cs="Arial" w:eastAsia="Arial" w:hAnsi="Arial"/>
          <w:color w:val="1E293B"/>
          <w:sz w:val="21"/>
          <w:szCs w:val="21"/>
        </w:rPr>
        <w:t xml:space="preserve">KutumbKosh solves this by providing a private, encrypted vault where users can document every financial asset, link nominees with share percentages, set up emergency access for trusted contacts, and generate comprehensive vault summaries for family preparedness.</w:t>
      </w:r>
    </w:p>
    <w:p>
      <w:pPr>
        <w:pStyle w:val="Heading2"/>
        <w:spacing w:before="280" w:after="160"/>
      </w:pPr>
      <w:r>
        <w:rPr>
          <w:rFonts w:ascii="Arial" w:cs="Arial" w:eastAsia="Arial" w:hAnsi="Arial"/>
          <w:b/>
          <w:bCs/>
          <w:color w:val="1E293B"/>
          <w:sz w:val="24"/>
          <w:szCs w:val="24"/>
        </w:rPr>
        <w:t xml:space="preserve">Key Metrics (Target: Month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9"/>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Conservative</w:t>
            </w:r>
          </w:p>
        </w:tc>
        <w:tc>
          <w:tcPr>
            <w:tcW w:type="dxa" w:w="3008"/>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Optimistic</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Registered Users</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5,000</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15,000</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Paid Subscribers (Pro)</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400 (8%)</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1,500 (10%)</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Annual Recurring Revenue</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₹1.2L</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₹4.5L</w:t>
            </w:r>
          </w:p>
        </w:tc>
      </w:tr>
    </w:tbl>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2. The Problem</w:t>
      </w:r>
    </w:p>
    <w:p>
      <w:pPr>
        <w:spacing w:after="140" w:line="300"/>
      </w:pPr>
      <w:r>
        <w:rPr>
          <w:rFonts w:ascii="Arial" w:cs="Arial" w:eastAsia="Arial" w:hAnsi="Arial"/>
          <w:color w:val="1E293B"/>
          <w:sz w:val="21"/>
          <w:szCs w:val="21"/>
        </w:rPr>
        <w:t xml:space="preserve">Indian households hold financial assets across an average of 5–8 different institutions — multiple bank accounts, fixed deposits, mutual funds through various AMCs, insurance policies, EPF, PPF, NPS, demat accounts, lockers, real estate, and loans. Each has different nominee rules, claim processes, and documentation requirements.</w:t>
      </w:r>
    </w:p>
    <w:p>
      <w:pPr>
        <w:pStyle w:val="Heading2"/>
        <w:spacing w:before="280" w:after="160"/>
      </w:pPr>
      <w:r>
        <w:rPr>
          <w:rFonts w:ascii="Arial" w:cs="Arial" w:eastAsia="Arial" w:hAnsi="Arial"/>
          <w:b/>
          <w:bCs/>
          <w:color w:val="1E293B"/>
          <w:sz w:val="24"/>
          <w:szCs w:val="24"/>
        </w:rPr>
        <w:t xml:space="preserve">What happens when the account holder is incapacitated or passes away?</w:t>
      </w:r>
    </w:p>
    <w:p>
      <w:pPr>
        <w:pStyle w:val="ListParagraph"/>
        <w:numPr>
          <w:ilvl w:val="0"/>
          <w:numId w:val="2"/>
        </w:numPr>
        <w:spacing w:after="100" w:line="300"/>
      </w:pPr>
      <w:r>
        <w:rPr>
          <w:rFonts w:ascii="Arial" w:cs="Arial" w:eastAsia="Arial" w:hAnsi="Arial"/>
          <w:color w:val="1E293B"/>
          <w:sz w:val="21"/>
          <w:szCs w:val="21"/>
        </w:rPr>
        <w:t xml:space="preserve">Family members don’t know which institutions hold assets</w:t>
      </w:r>
    </w:p>
    <w:p>
      <w:pPr>
        <w:pStyle w:val="ListParagraph"/>
        <w:numPr>
          <w:ilvl w:val="0"/>
          <w:numId w:val="2"/>
        </w:numPr>
        <w:spacing w:after="100" w:line="300"/>
      </w:pPr>
      <w:r>
        <w:rPr>
          <w:rFonts w:ascii="Arial" w:cs="Arial" w:eastAsia="Arial" w:hAnsi="Arial"/>
          <w:color w:val="1E293B"/>
          <w:sz w:val="21"/>
          <w:szCs w:val="21"/>
        </w:rPr>
        <w:t xml:space="preserve">Nominee details may be outdated or missing entirely</w:t>
      </w:r>
    </w:p>
    <w:p>
      <w:pPr>
        <w:pStyle w:val="ListParagraph"/>
        <w:numPr>
          <w:ilvl w:val="0"/>
          <w:numId w:val="2"/>
        </w:numPr>
        <w:spacing w:after="100" w:line="300"/>
      </w:pPr>
      <w:r>
        <w:rPr>
          <w:rFonts w:ascii="Arial" w:cs="Arial" w:eastAsia="Arial" w:hAnsi="Arial"/>
          <w:color w:val="1E293B"/>
          <w:sz w:val="21"/>
          <w:szCs w:val="21"/>
        </w:rPr>
        <w:t xml:space="preserve">Claim processes differ by institution and asset type — families don’t know where to start</w:t>
      </w:r>
    </w:p>
    <w:p>
      <w:pPr>
        <w:pStyle w:val="ListParagraph"/>
        <w:numPr>
          <w:ilvl w:val="0"/>
          <w:numId w:val="2"/>
        </w:numPr>
        <w:spacing w:after="100" w:line="300"/>
      </w:pPr>
      <w:r>
        <w:rPr>
          <w:rFonts w:ascii="Arial" w:cs="Arial" w:eastAsia="Arial" w:hAnsi="Arial"/>
          <w:color w:val="1E293B"/>
          <w:sz w:val="21"/>
          <w:szCs w:val="21"/>
        </w:rPr>
        <w:t xml:space="preserve">Physical documents are scattered or lost</w:t>
      </w:r>
    </w:p>
    <w:p>
      <w:pPr>
        <w:pStyle w:val="ListParagraph"/>
        <w:numPr>
          <w:ilvl w:val="0"/>
          <w:numId w:val="2"/>
        </w:numPr>
        <w:spacing w:after="100" w:line="300"/>
      </w:pPr>
      <w:r>
        <w:rPr>
          <w:rFonts w:ascii="Arial" w:cs="Arial" w:eastAsia="Arial" w:hAnsi="Arial"/>
          <w:color w:val="1E293B"/>
          <w:sz w:val="21"/>
          <w:szCs w:val="21"/>
        </w:rPr>
        <w:t xml:space="preserve">Unclaimed assets pile up — RBI data shows over ₹78,000 crore in unclaimed deposits as of 2024</w:t>
      </w:r>
    </w:p>
    <w:p>
      <w:pPr>
        <w:pStyle w:val="Heading2"/>
        <w:spacing w:before="280" w:after="160"/>
      </w:pPr>
      <w:r>
        <w:rPr>
          <w:rFonts w:ascii="Arial" w:cs="Arial" w:eastAsia="Arial" w:hAnsi="Arial"/>
          <w:b/>
          <w:bCs/>
          <w:color w:val="1E293B"/>
          <w:sz w:val="24"/>
          <w:szCs w:val="24"/>
        </w:rPr>
        <w:t xml:space="preserve">Current workarounds (all inadequate)</w:t>
      </w:r>
    </w:p>
    <w:p>
      <w:pPr>
        <w:pStyle w:val="ListParagraph"/>
        <w:numPr>
          <w:ilvl w:val="0"/>
          <w:numId w:val="3"/>
        </w:numPr>
        <w:spacing w:after="100" w:line="300"/>
      </w:pPr>
      <w:r>
        <w:rPr>
          <w:rFonts w:ascii="Arial" w:cs="Arial" w:eastAsia="Arial" w:hAnsi="Arial"/>
          <w:color w:val="1E293B"/>
          <w:sz w:val="21"/>
          <w:szCs w:val="21"/>
        </w:rPr>
        <w:t xml:space="preserve">Spreadsheets shared via WhatsApp — no security, easily outdated</w:t>
      </w:r>
    </w:p>
    <w:p>
      <w:pPr>
        <w:pStyle w:val="ListParagraph"/>
        <w:numPr>
          <w:ilvl w:val="0"/>
          <w:numId w:val="3"/>
        </w:numPr>
        <w:spacing w:after="100" w:line="300"/>
      </w:pPr>
      <w:r>
        <w:rPr>
          <w:rFonts w:ascii="Arial" w:cs="Arial" w:eastAsia="Arial" w:hAnsi="Arial"/>
          <w:color w:val="1E293B"/>
          <w:sz w:val="21"/>
          <w:szCs w:val="21"/>
        </w:rPr>
        <w:t xml:space="preserve">Handwritten lists in a drawer — incomplete, often not found</w:t>
      </w:r>
    </w:p>
    <w:p>
      <w:pPr>
        <w:pStyle w:val="ListParagraph"/>
        <w:numPr>
          <w:ilvl w:val="0"/>
          <w:numId w:val="3"/>
        </w:numPr>
        <w:spacing w:after="100" w:line="300"/>
      </w:pPr>
      <w:r>
        <w:rPr>
          <w:rFonts w:ascii="Arial" w:cs="Arial" w:eastAsia="Arial" w:hAnsi="Arial"/>
          <w:color w:val="1E293B"/>
          <w:sz w:val="21"/>
          <w:szCs w:val="21"/>
        </w:rPr>
        <w:t xml:space="preserve">Verbal instructions to spouse — forgotten or misremembered</w:t>
      </w:r>
    </w:p>
    <w:p>
      <w:pPr>
        <w:pStyle w:val="ListParagraph"/>
        <w:numPr>
          <w:ilvl w:val="0"/>
          <w:numId w:val="3"/>
        </w:numPr>
        <w:spacing w:after="100" w:line="300"/>
      </w:pPr>
      <w:r>
        <w:rPr>
          <w:rFonts w:ascii="Arial" w:cs="Arial" w:eastAsia="Arial" w:hAnsi="Arial"/>
          <w:color w:val="1E293B"/>
          <w:sz w:val="21"/>
          <w:szCs w:val="21"/>
        </w:rPr>
        <w:t xml:space="preserve">Estate planning lawyers — expensive (₹5,000–20,000+), focused on wills not asset discovery</w:t>
      </w:r>
    </w:p>
    <w:p>
      <w:pPr>
        <w:pStyle w:val="Heading1"/>
        <w:pBdr>
          <w:bottom w:val="single" w:color="1E40AF" w:sz="4" w:space="6"/>
        </w:pBdr>
        <w:spacing w:before="360" w:after="200"/>
      </w:pPr>
      <w:r>
        <w:rPr>
          <w:rFonts w:ascii="Arial" w:cs="Arial" w:eastAsia="Arial" w:hAnsi="Arial"/>
          <w:b/>
          <w:bCs/>
          <w:color w:val="1E40AF"/>
          <w:sz w:val="28"/>
          <w:szCs w:val="28"/>
        </w:rPr>
        <w:t xml:space="preserve">3. The Solution: KutumbKosh</w:t>
      </w:r>
    </w:p>
    <w:p>
      <w:pPr>
        <w:spacing w:after="140" w:line="300"/>
      </w:pPr>
      <w:r>
        <w:rPr>
          <w:rFonts w:ascii="Arial" w:cs="Arial" w:eastAsia="Arial" w:hAnsi="Arial"/>
          <w:color w:val="1E293B"/>
          <w:sz w:val="21"/>
          <w:szCs w:val="21"/>
        </w:rPr>
        <w:t xml:space="preserve">KutumbKosh is a web application (mobile-responsive, with a future native app) that provides:</w:t>
      </w:r>
    </w:p>
    <w:p>
      <w:pPr>
        <w:pStyle w:val="ListParagraph"/>
        <w:numPr>
          <w:ilvl w:val="0"/>
          <w:numId w:val="4"/>
        </w:numPr>
        <w:spacing w:after="100" w:line="300"/>
      </w:pPr>
      <w:r>
        <w:rPr>
          <w:rFonts w:ascii="Arial" w:cs="Arial" w:eastAsia="Arial" w:hAnsi="Arial"/>
          <w:color w:val="1E293B"/>
          <w:sz w:val="21"/>
          <w:szCs w:val="21"/>
        </w:rPr>
        <w:t xml:space="preserve">Asset Vault — Add and organize all 11 categories of financial assets with institution details, account identifiers, and approximate value bands</w:t>
      </w:r>
    </w:p>
    <w:p>
      <w:pPr>
        <w:pStyle w:val="ListParagraph"/>
        <w:numPr>
          <w:ilvl w:val="0"/>
          <w:numId w:val="4"/>
        </w:numPr>
        <w:spacing w:after="100" w:line="300"/>
      </w:pPr>
      <w:r>
        <w:rPr>
          <w:rFonts w:ascii="Arial" w:cs="Arial" w:eastAsia="Arial" w:hAnsi="Arial"/>
          <w:color w:val="1E293B"/>
          <w:sz w:val="21"/>
          <w:szCs w:val="21"/>
        </w:rPr>
        <w:t xml:space="preserve">Nominee Management — Link nominees to specific assets with share percentages, track nominee gaps, and get coverage reports</w:t>
      </w:r>
    </w:p>
    <w:p>
      <w:pPr>
        <w:pStyle w:val="ListParagraph"/>
        <w:numPr>
          <w:ilvl w:val="0"/>
          <w:numId w:val="4"/>
        </w:numPr>
        <w:spacing w:after="100" w:line="300"/>
      </w:pPr>
      <w:r>
        <w:rPr>
          <w:rFonts w:ascii="Arial" w:cs="Arial" w:eastAsia="Arial" w:hAnsi="Arial"/>
          <w:color w:val="1E293B"/>
          <w:sz w:val="21"/>
          <w:szCs w:val="21"/>
        </w:rPr>
        <w:t xml:space="preserve">Emergency Access — Designate trusted contacts who can access vault information in case of emergency, with approval workflows</w:t>
      </w:r>
    </w:p>
    <w:p>
      <w:pPr>
        <w:pStyle w:val="ListParagraph"/>
        <w:numPr>
          <w:ilvl w:val="0"/>
          <w:numId w:val="4"/>
        </w:numPr>
        <w:spacing w:after="100" w:line="300"/>
      </w:pPr>
      <w:r>
        <w:rPr>
          <w:rFonts w:ascii="Arial" w:cs="Arial" w:eastAsia="Arial" w:hAnsi="Arial"/>
          <w:color w:val="1E293B"/>
          <w:sz w:val="21"/>
          <w:szCs w:val="21"/>
        </w:rPr>
        <w:t xml:space="preserve">Smart Reminders — Auto-generated alerts for nominee gaps, insurance expiry, FD maturity, and vault review nudges</w:t>
      </w:r>
    </w:p>
    <w:p>
      <w:pPr>
        <w:pStyle w:val="ListParagraph"/>
        <w:numPr>
          <w:ilvl w:val="0"/>
          <w:numId w:val="4"/>
        </w:numPr>
        <w:spacing w:after="100" w:line="300"/>
      </w:pPr>
      <w:r>
        <w:rPr>
          <w:rFonts w:ascii="Arial" w:cs="Arial" w:eastAsia="Arial" w:hAnsi="Arial"/>
          <w:color w:val="1E293B"/>
          <w:sz w:val="21"/>
          <w:szCs w:val="21"/>
        </w:rPr>
        <w:t xml:space="preserve">Export &amp; Share — Generate print-ready PDF summaries of the entire vault for offline storage or sharing with family</w:t>
      </w:r>
    </w:p>
    <w:p>
      <w:pPr>
        <w:pStyle w:val="Heading2"/>
        <w:spacing w:before="280" w:after="160"/>
      </w:pPr>
      <w:r>
        <w:rPr>
          <w:rFonts w:ascii="Arial" w:cs="Arial" w:eastAsia="Arial" w:hAnsi="Arial"/>
          <w:b/>
          <w:bCs/>
          <w:color w:val="1E293B"/>
          <w:sz w:val="24"/>
          <w:szCs w:val="24"/>
        </w:rPr>
        <w:t xml:space="preserve">Technical Stack</w:t>
      </w:r>
    </w:p>
    <w:p>
      <w:pPr>
        <w:pStyle w:val="ListParagraph"/>
        <w:numPr>
          <w:ilvl w:val="0"/>
          <w:numId w:val="5"/>
        </w:numPr>
        <w:spacing w:after="100" w:line="300"/>
      </w:pPr>
      <w:r>
        <w:rPr>
          <w:rFonts w:ascii="Arial" w:cs="Arial" w:eastAsia="Arial" w:hAnsi="Arial"/>
          <w:color w:val="1E293B"/>
          <w:sz w:val="21"/>
          <w:szCs w:val="21"/>
        </w:rPr>
        <w:t xml:space="preserve">Next.js 14 (React) with TypeScript — fast, SEO-friendly, modern</w:t>
      </w:r>
    </w:p>
    <w:p>
      <w:pPr>
        <w:pStyle w:val="ListParagraph"/>
        <w:numPr>
          <w:ilvl w:val="0"/>
          <w:numId w:val="5"/>
        </w:numPr>
        <w:spacing w:after="100" w:line="300"/>
      </w:pPr>
      <w:r>
        <w:rPr>
          <w:rFonts w:ascii="Arial" w:cs="Arial" w:eastAsia="Arial" w:hAnsi="Arial"/>
          <w:color w:val="1E293B"/>
          <w:sz w:val="21"/>
          <w:szCs w:val="21"/>
        </w:rPr>
        <w:t xml:space="preserve">Supabase (PostgreSQL + Auth + Row Level Security) — enterprise-grade security with zero backend code</w:t>
      </w:r>
    </w:p>
    <w:p>
      <w:pPr>
        <w:pStyle w:val="ListParagraph"/>
        <w:numPr>
          <w:ilvl w:val="0"/>
          <w:numId w:val="5"/>
        </w:numPr>
        <w:spacing w:after="100" w:line="300"/>
      </w:pPr>
      <w:r>
        <w:rPr>
          <w:rFonts w:ascii="Arial" w:cs="Arial" w:eastAsia="Arial" w:hAnsi="Arial"/>
          <w:color w:val="1E293B"/>
          <w:sz w:val="21"/>
          <w:szCs w:val="21"/>
        </w:rPr>
        <w:t xml:space="preserve">Tailwind CSS — clean, modern fintech design language</w:t>
      </w:r>
    </w:p>
    <w:p>
      <w:pPr>
        <w:pStyle w:val="ListParagraph"/>
        <w:numPr>
          <w:ilvl w:val="0"/>
          <w:numId w:val="5"/>
        </w:numPr>
        <w:spacing w:after="100" w:line="300"/>
      </w:pPr>
      <w:r>
        <w:rPr>
          <w:rFonts w:ascii="Arial" w:cs="Arial" w:eastAsia="Arial" w:hAnsi="Arial"/>
          <w:color w:val="1E293B"/>
          <w:sz w:val="21"/>
          <w:szCs w:val="21"/>
        </w:rPr>
        <w:t xml:space="preserve">Razorpay — payment gateway for subscriptions (2% + GST per transaction)</w:t>
      </w:r>
    </w:p>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4. Market Opportunity</w:t>
      </w:r>
    </w:p>
    <w:p>
      <w:pPr>
        <w:pStyle w:val="Heading2"/>
        <w:spacing w:before="280" w:after="160"/>
      </w:pPr>
      <w:r>
        <w:rPr>
          <w:rFonts w:ascii="Arial" w:cs="Arial" w:eastAsia="Arial" w:hAnsi="Arial"/>
          <w:b/>
          <w:bCs/>
          <w:color w:val="1E293B"/>
          <w:sz w:val="24"/>
          <w:szCs w:val="24"/>
        </w:rPr>
        <w:t xml:space="preserve">Target Audience</w:t>
      </w:r>
    </w:p>
    <w:p>
      <w:pPr>
        <w:spacing w:after="140" w:line="300"/>
      </w:pPr>
      <w:r>
        <w:rPr>
          <w:rFonts w:ascii="Arial" w:cs="Arial" w:eastAsia="Arial" w:hAnsi="Arial"/>
          <w:color w:val="1E293B"/>
          <w:sz w:val="21"/>
          <w:szCs w:val="21"/>
        </w:rPr>
        <w:t xml:space="preserve">Primary: Indian middle-class and upper-middle-class individuals aged 30–55 with diversified financial portfolios — salaried professionals, small business owners, and NRIs who want to ensure their family is financially prepared.</w:t>
      </w:r>
    </w:p>
    <w:p>
      <w:pPr>
        <w:spacing w:after="140" w:line="300"/>
      </w:pPr>
      <w:r>
        <w:rPr>
          <w:rFonts w:ascii="Arial" w:cs="Arial" w:eastAsia="Arial" w:hAnsi="Arial"/>
          <w:color w:val="1E293B"/>
          <w:sz w:val="21"/>
          <w:szCs w:val="21"/>
        </w:rPr>
        <w:t xml:space="preserve">Secondary: Financial advisors and wealth managers who want to offer asset documentation as a value-add service to their clients.</w:t>
      </w:r>
    </w:p>
    <w:p>
      <w:pPr>
        <w:pStyle w:val="Heading2"/>
        <w:spacing w:before="280" w:after="160"/>
      </w:pPr>
      <w:r>
        <w:rPr>
          <w:rFonts w:ascii="Arial" w:cs="Arial" w:eastAsia="Arial" w:hAnsi="Arial"/>
          <w:b/>
          <w:bCs/>
          <w:color w:val="1E293B"/>
          <w:sz w:val="24"/>
          <w:szCs w:val="24"/>
        </w:rPr>
        <w:t xml:space="preserve">Market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4513"/>
      </w:tblGrid>
      <w:tr>
        <w:tc>
          <w:tcPr>
            <w:tcW w:type="dxa" w:w="225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2257"/>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4513"/>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Rationale</w:t>
            </w:r>
          </w:p>
        </w:tc>
      </w:tr>
      <w:tr>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TAM (Total Addressable)</w:t>
            </w:r>
          </w:p>
        </w:tc>
        <w:tc>
          <w:tcPr>
            <w:tcW w:type="dxa" w:w="2257"/>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50M+ households</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Indian households with formal financial assets (bank accounts + at least one investment)</w:t>
            </w:r>
          </w:p>
        </w:tc>
      </w:tr>
      <w:tr>
        <w:tc>
          <w:tcPr>
            <w:tcW w:type="dxa" w:w="22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SAM (Serviceable)</w:t>
            </w:r>
          </w:p>
        </w:tc>
        <w:tc>
          <w:tcPr>
            <w:tcW w:type="dxa" w:w="225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10M households</w:t>
            </w:r>
          </w:p>
        </w:tc>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Digitally literate, smartphone-owning, 2+ asset types, English/Hindi speaking</w:t>
            </w:r>
          </w:p>
        </w:tc>
      </w:tr>
      <w:tr>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SOM (Year 1 Target)</w:t>
            </w:r>
          </w:p>
        </w:tc>
        <w:tc>
          <w:tcPr>
            <w:tcW w:type="dxa" w:w="2257"/>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5,000–15,000 users</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Organic + community-driven acquisition via fintwit, Reddit, WhatsApp virality</w:t>
            </w:r>
          </w:p>
        </w:tc>
      </w:tr>
    </w:tbl>
    <w:p>
      <w:pPr>
        <w:pStyle w:val="Heading2"/>
        <w:spacing w:before="280" w:after="160"/>
      </w:pPr>
      <w:r>
        <w:rPr>
          <w:rFonts w:ascii="Arial" w:cs="Arial" w:eastAsia="Arial" w:hAnsi="Arial"/>
          <w:b/>
          <w:bCs/>
          <w:color w:val="1E293B"/>
          <w:sz w:val="24"/>
          <w:szCs w:val="24"/>
        </w:rPr>
        <w:t xml:space="preserve">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2406"/>
        <w:gridCol w:w="2407"/>
        <w:gridCol w:w="2407"/>
      </w:tblGrid>
      <w:tr>
        <w:tc>
          <w:tcPr>
            <w:tcW w:type="dxa" w:w="180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Player</w:t>
            </w:r>
          </w:p>
        </w:tc>
        <w:tc>
          <w:tcPr>
            <w:tcW w:type="dxa" w:w="240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c>
          <w:tcPr>
            <w:tcW w:type="dxa" w:w="2407"/>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2407"/>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KutumbKosh advantage</w:t>
            </w:r>
          </w:p>
        </w:tc>
      </w:tr>
      <w:tr>
        <w:tc>
          <w:tcPr>
            <w:tcW w:type="dxa" w:w="18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Yellow (GetYellow)</w:t>
            </w:r>
          </w:p>
        </w:tc>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Online will creation with legal expert consultation</w:t>
            </w:r>
          </w:p>
        </w:tc>
        <w:tc>
          <w:tcPr>
            <w:tcW w:type="dxa" w:w="2407"/>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Starting ₹1,499 (one-time)</w:t>
            </w:r>
          </w:p>
        </w:tc>
        <w:tc>
          <w:tcPr>
            <w:tcW w:type="dxa" w:w="2407"/>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KutumbKosh is ongoing vault, not one-time will. Living document that stays current.</w:t>
            </w:r>
          </w:p>
        </w:tc>
      </w:tr>
      <w:tr>
        <w:tc>
          <w:tcPr>
            <w:tcW w:type="dxa" w:w="18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Kuvera</w:t>
            </w:r>
          </w:p>
        </w:tc>
        <w:tc>
          <w:tcPr>
            <w:tcW w:type="dxa" w:w="24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Investment platform (MFs, stocks, FDs) with basic nominee features</w:t>
            </w:r>
          </w:p>
        </w:tc>
        <w:tc>
          <w:tcPr>
            <w:tcW w:type="dxa" w:w="240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Free (commission-based)</w:t>
            </w:r>
          </w:p>
        </w:tc>
        <w:tc>
          <w:tcPr>
            <w:tcW w:type="dxa" w:w="240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Only tracks investments on their platform. KutumbKosh covers ALL assets across ALL institutions.</w:t>
            </w:r>
          </w:p>
        </w:tc>
      </w:tr>
      <w:tr>
        <w:tc>
          <w:tcPr>
            <w:tcW w:type="dxa" w:w="18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Spreadsheets</w:t>
            </w:r>
          </w:p>
        </w:tc>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Manual tracking via Google Sheets or Excel</w:t>
            </w:r>
          </w:p>
        </w:tc>
        <w:tc>
          <w:tcPr>
            <w:tcW w:type="dxa" w:w="2407"/>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Free</w:t>
            </w:r>
          </w:p>
        </w:tc>
        <w:tc>
          <w:tcPr>
            <w:tcW w:type="dxa" w:w="2407"/>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security, no reminders, no emergency access, easily outdated.</w:t>
            </w:r>
          </w:p>
        </w:tc>
      </w:tr>
      <w:tr>
        <w:tc>
          <w:tcPr>
            <w:tcW w:type="dxa" w:w="18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Estate Lawyers</w:t>
            </w:r>
          </w:p>
        </w:tc>
        <w:tc>
          <w:tcPr>
            <w:tcW w:type="dxa" w:w="24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Will drafting and estate planning</w:t>
            </w:r>
          </w:p>
        </w:tc>
        <w:tc>
          <w:tcPr>
            <w:tcW w:type="dxa" w:w="240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₹5,000–20,000+</w:t>
            </w:r>
          </w:p>
        </w:tc>
        <w:tc>
          <w:tcPr>
            <w:tcW w:type="dxa" w:w="2407"/>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Expensive, static document, no digital access or real-time updates.</w:t>
            </w:r>
          </w:p>
        </w:tc>
      </w:tr>
    </w:tbl>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5. Business Model &amp; Pricing</w:t>
      </w:r>
    </w:p>
    <w:p>
      <w:pPr>
        <w:pStyle w:val="Heading2"/>
        <w:spacing w:before="280" w:after="160"/>
      </w:pPr>
      <w:r>
        <w:rPr>
          <w:rFonts w:ascii="Arial" w:cs="Arial" w:eastAsia="Arial" w:hAnsi="Arial"/>
          <w:b/>
          <w:bCs/>
          <w:color w:val="1E293B"/>
          <w:sz w:val="24"/>
          <w:szCs w:val="24"/>
        </w:rPr>
        <w:t xml:space="preserve">Freemium Model</w:t>
      </w:r>
    </w:p>
    <w:p>
      <w:pPr>
        <w:spacing w:after="140" w:line="300"/>
      </w:pPr>
      <w:r>
        <w:rPr>
          <w:rFonts w:ascii="Arial" w:cs="Arial" w:eastAsia="Arial" w:hAnsi="Arial"/>
          <w:color w:val="1E293B"/>
          <w:sz w:val="21"/>
          <w:szCs w:val="21"/>
        </w:rPr>
        <w:t xml:space="preserve">KutumbKosh follows a freemium model optimized for viral growth in the free tier and clear value differentiation in the paid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009"/>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3008"/>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Pro (₹299/year)</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Asset entries</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Up to 3</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Unlimited</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Nominees</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Up to 2</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Unlimited</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Asset-nominee linking</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Basic (no share %)</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Full with share percentages</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Smart reminders</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Nominee gaps only</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All reminders (expiry, maturity, review)</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Emergency access</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Trusted contacts + dossier</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PDF export</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Full vault summary</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Priority support</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Email + chat support</w:t>
            </w:r>
          </w:p>
        </w:tc>
      </w:tr>
    </w:tbl>
    <w:p>
      <w:pPr>
        <w:pStyle w:val="Heading2"/>
        <w:spacing w:before="280" w:after="160"/>
      </w:pPr>
      <w:r>
        <w:rPr>
          <w:rFonts w:ascii="Arial" w:cs="Arial" w:eastAsia="Arial" w:hAnsi="Arial"/>
          <w:b/>
          <w:bCs/>
          <w:color w:val="1E293B"/>
          <w:sz w:val="24"/>
          <w:szCs w:val="24"/>
        </w:rPr>
        <w:t xml:space="preserve">Why ₹299/year?</w:t>
      </w:r>
    </w:p>
    <w:p>
      <w:pPr>
        <w:pStyle w:val="ListParagraph"/>
        <w:numPr>
          <w:ilvl w:val="0"/>
          <w:numId w:val="6"/>
        </w:numPr>
        <w:spacing w:after="100" w:line="300"/>
      </w:pPr>
      <w:r>
        <w:rPr>
          <w:rFonts w:ascii="Arial" w:cs="Arial" w:eastAsia="Arial" w:hAnsi="Arial"/>
          <w:color w:val="1E293B"/>
          <w:sz w:val="21"/>
          <w:szCs w:val="21"/>
        </w:rPr>
        <w:t xml:space="preserve">Lower than a single movie ticket — frictionless decision for the target demographic</w:t>
      </w:r>
    </w:p>
    <w:p>
      <w:pPr>
        <w:pStyle w:val="ListParagraph"/>
        <w:numPr>
          <w:ilvl w:val="0"/>
          <w:numId w:val="6"/>
        </w:numPr>
        <w:spacing w:after="100" w:line="300"/>
      </w:pPr>
      <w:r>
        <w:rPr>
          <w:rFonts w:ascii="Arial" w:cs="Arial" w:eastAsia="Arial" w:hAnsi="Arial"/>
          <w:color w:val="1E293B"/>
          <w:sz w:val="21"/>
          <w:szCs w:val="21"/>
        </w:rPr>
        <w:t xml:space="preserve">Annual billing encourages commitment and aligns with the "set it and review yearly" usage pattern</w:t>
      </w:r>
    </w:p>
    <w:p>
      <w:pPr>
        <w:pStyle w:val="ListParagraph"/>
        <w:numPr>
          <w:ilvl w:val="0"/>
          <w:numId w:val="6"/>
        </w:numPr>
        <w:spacing w:after="100" w:line="300"/>
      </w:pPr>
      <w:r>
        <w:rPr>
          <w:rFonts w:ascii="Arial" w:cs="Arial" w:eastAsia="Arial" w:hAnsi="Arial"/>
          <w:color w:val="1E293B"/>
          <w:sz w:val="21"/>
          <w:szCs w:val="21"/>
        </w:rPr>
        <w:t xml:space="preserve">Monthly option at ₹49/month available for users who prefer flexibility</w:t>
      </w:r>
    </w:p>
    <w:p>
      <w:pPr>
        <w:pStyle w:val="ListParagraph"/>
        <w:numPr>
          <w:ilvl w:val="0"/>
          <w:numId w:val="6"/>
        </w:numPr>
        <w:spacing w:after="100" w:line="300"/>
      </w:pPr>
      <w:r>
        <w:rPr>
          <w:rFonts w:ascii="Arial" w:cs="Arial" w:eastAsia="Arial" w:hAnsi="Arial"/>
          <w:color w:val="1E293B"/>
          <w:sz w:val="21"/>
          <w:szCs w:val="21"/>
        </w:rPr>
        <w:t xml:space="preserve">Competitive: Yellow charges ₹1,499+ for a one-time will; KutumbKosh is a living, continuously updated vault</w:t>
      </w:r>
    </w:p>
    <w:p>
      <w:pPr>
        <w:pStyle w:val="Heading2"/>
        <w:spacing w:before="280" w:after="160"/>
      </w:pPr>
      <w:r>
        <w:rPr>
          <w:rFonts w:ascii="Arial" w:cs="Arial" w:eastAsia="Arial" w:hAnsi="Arial"/>
          <w:b/>
          <w:bCs/>
          <w:color w:val="1E293B"/>
          <w:sz w:val="24"/>
          <w:szCs w:val="24"/>
        </w:rPr>
        <w:t xml:space="preserve">Future Revenue Streams (Month 6+)</w:t>
      </w:r>
    </w:p>
    <w:p>
      <w:pPr>
        <w:pStyle w:val="ListParagraph"/>
        <w:numPr>
          <w:ilvl w:val="0"/>
          <w:numId w:val="7"/>
        </w:numPr>
        <w:spacing w:after="100" w:line="300"/>
      </w:pPr>
      <w:r>
        <w:rPr>
          <w:rFonts w:ascii="Arial" w:cs="Arial" w:eastAsia="Arial" w:hAnsi="Arial"/>
          <w:color w:val="1E293B"/>
          <w:sz w:val="21"/>
          <w:szCs w:val="21"/>
        </w:rPr>
        <w:t xml:space="preserve">Family Plan (₹499/year) — Cover 2–3 vaults under one subscription (user + spouse + parent)</w:t>
      </w:r>
    </w:p>
    <w:p>
      <w:pPr>
        <w:pStyle w:val="ListParagraph"/>
        <w:numPr>
          <w:ilvl w:val="0"/>
          <w:numId w:val="7"/>
        </w:numPr>
        <w:spacing w:after="100" w:line="300"/>
      </w:pPr>
      <w:r>
        <w:rPr>
          <w:rFonts w:ascii="Arial" w:cs="Arial" w:eastAsia="Arial" w:hAnsi="Arial"/>
          <w:color w:val="1E293B"/>
          <w:sz w:val="21"/>
          <w:szCs w:val="21"/>
        </w:rPr>
        <w:t xml:space="preserve">Advisor Channel (₹199/client/year) — Financial advisors offer KutumbKosh to clients as a value-add</w:t>
      </w:r>
    </w:p>
    <w:p>
      <w:pPr>
        <w:pStyle w:val="ListParagraph"/>
        <w:numPr>
          <w:ilvl w:val="0"/>
          <w:numId w:val="7"/>
        </w:numPr>
        <w:spacing w:after="100" w:line="300"/>
      </w:pPr>
      <w:r>
        <w:rPr>
          <w:rFonts w:ascii="Arial" w:cs="Arial" w:eastAsia="Arial" w:hAnsi="Arial"/>
          <w:color w:val="1E293B"/>
          <w:sz w:val="21"/>
          <w:szCs w:val="21"/>
        </w:rPr>
        <w:t xml:space="preserve">Premium features — Document storage (policy PDFs, statements), automated claim assistance guides</w:t>
      </w:r>
    </w:p>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6. Go-to-Market Strategy</w:t>
      </w:r>
    </w:p>
    <w:p>
      <w:pPr>
        <w:pStyle w:val="Heading2"/>
        <w:spacing w:before="280" w:after="160"/>
      </w:pPr>
      <w:r>
        <w:rPr>
          <w:rFonts w:ascii="Arial" w:cs="Arial" w:eastAsia="Arial" w:hAnsi="Arial"/>
          <w:b/>
          <w:bCs/>
          <w:color w:val="1E293B"/>
          <w:sz w:val="24"/>
          <w:szCs w:val="24"/>
        </w:rPr>
        <w:t xml:space="preserve">Phase 1: Free Launch (Month 1–3)</w:t>
      </w:r>
    </w:p>
    <w:p>
      <w:pPr>
        <w:spacing w:after="140" w:line="300"/>
      </w:pPr>
      <w:r>
        <w:rPr>
          <w:rFonts w:ascii="Arial" w:cs="Arial" w:eastAsia="Arial" w:hAnsi="Arial"/>
          <w:color w:val="1E293B"/>
          <w:sz w:val="21"/>
          <w:szCs w:val="21"/>
        </w:rPr>
        <w:t xml:space="preserve">Goal: Acquire 1,000–3,000 free users and validate product-market fit.</w:t>
      </w:r>
    </w:p>
    <w:p>
      <w:pPr>
        <w:pStyle w:val="ListParagraph"/>
        <w:numPr>
          <w:ilvl w:val="0"/>
          <w:numId w:val="8"/>
        </w:numPr>
        <w:spacing w:after="100" w:line="300"/>
      </w:pPr>
      <w:r>
        <w:rPr>
          <w:rFonts w:ascii="Arial" w:cs="Arial" w:eastAsia="Arial" w:hAnsi="Arial"/>
          <w:color w:val="1E293B"/>
          <w:sz w:val="21"/>
          <w:szCs w:val="21"/>
        </w:rPr>
        <w:t xml:space="preserve">Launch on Product Hunt India, Reddit (r/IndiaInvestments, r/IndiaTax), and Twitter/X fintwit community</w:t>
      </w:r>
    </w:p>
    <w:p>
      <w:pPr>
        <w:pStyle w:val="ListParagraph"/>
        <w:numPr>
          <w:ilvl w:val="0"/>
          <w:numId w:val="8"/>
        </w:numPr>
        <w:spacing w:after="100" w:line="300"/>
      </w:pPr>
      <w:r>
        <w:rPr>
          <w:rFonts w:ascii="Arial" w:cs="Arial" w:eastAsia="Arial" w:hAnsi="Arial"/>
          <w:color w:val="1E293B"/>
          <w:sz w:val="21"/>
          <w:szCs w:val="21"/>
        </w:rPr>
        <w:t xml:space="preserve">Content marketing: "The ₹78,000 crore problem" blog post about unclaimed assets, SEO-optimized guides on nominee management</w:t>
      </w:r>
    </w:p>
    <w:p>
      <w:pPr>
        <w:pStyle w:val="ListParagraph"/>
        <w:numPr>
          <w:ilvl w:val="0"/>
          <w:numId w:val="8"/>
        </w:numPr>
        <w:spacing w:after="100" w:line="300"/>
      </w:pPr>
      <w:r>
        <w:rPr>
          <w:rFonts w:ascii="Arial" w:cs="Arial" w:eastAsia="Arial" w:hAnsi="Arial"/>
          <w:color w:val="1E293B"/>
          <w:sz w:val="21"/>
          <w:szCs w:val="21"/>
        </w:rPr>
        <w:t xml:space="preserve">WhatsApp virality: Built-in "Invite your spouse" feature, shareable vault readiness score</w:t>
      </w:r>
    </w:p>
    <w:p>
      <w:pPr>
        <w:pStyle w:val="ListParagraph"/>
        <w:numPr>
          <w:ilvl w:val="0"/>
          <w:numId w:val="8"/>
        </w:numPr>
        <w:spacing w:after="100" w:line="300"/>
      </w:pPr>
      <w:r>
        <w:rPr>
          <w:rFonts w:ascii="Arial" w:cs="Arial" w:eastAsia="Arial" w:hAnsi="Arial"/>
          <w:color w:val="1E293B"/>
          <w:sz w:val="21"/>
          <w:szCs w:val="21"/>
        </w:rPr>
        <w:t xml:space="preserve">Personal network seeding: Ask 50 friends/family to try it and provide feedback</w:t>
      </w:r>
    </w:p>
    <w:p>
      <w:pPr>
        <w:pStyle w:val="Heading2"/>
        <w:spacing w:before="280" w:after="160"/>
      </w:pPr>
      <w:r>
        <w:rPr>
          <w:rFonts w:ascii="Arial" w:cs="Arial" w:eastAsia="Arial" w:hAnsi="Arial"/>
          <w:b/>
          <w:bCs/>
          <w:color w:val="1E293B"/>
          <w:sz w:val="24"/>
          <w:szCs w:val="24"/>
        </w:rPr>
        <w:t xml:space="preserve">Phase 2: Monetization (Month 3–6)</w:t>
      </w:r>
    </w:p>
    <w:p>
      <w:pPr>
        <w:spacing w:after="140" w:line="300"/>
      </w:pPr>
      <w:r>
        <w:rPr>
          <w:rFonts w:ascii="Arial" w:cs="Arial" w:eastAsia="Arial" w:hAnsi="Arial"/>
          <w:color w:val="1E293B"/>
          <w:sz w:val="21"/>
          <w:szCs w:val="21"/>
        </w:rPr>
        <w:t xml:space="preserve">Goal: Launch Pro tier, reach 400+ paid subscribers.</w:t>
      </w:r>
    </w:p>
    <w:p>
      <w:pPr>
        <w:pStyle w:val="ListParagraph"/>
        <w:numPr>
          <w:ilvl w:val="0"/>
          <w:numId w:val="9"/>
        </w:numPr>
        <w:spacing w:after="100" w:line="300"/>
      </w:pPr>
      <w:r>
        <w:rPr>
          <w:rFonts w:ascii="Arial" w:cs="Arial" w:eastAsia="Arial" w:hAnsi="Arial"/>
          <w:color w:val="1E293B"/>
          <w:sz w:val="21"/>
          <w:szCs w:val="21"/>
        </w:rPr>
        <w:t xml:space="preserve">Introduce Pro tier with feature gates (3 asset limit on free, no export/emergency access)</w:t>
      </w:r>
    </w:p>
    <w:p>
      <w:pPr>
        <w:pStyle w:val="ListParagraph"/>
        <w:numPr>
          <w:ilvl w:val="0"/>
          <w:numId w:val="9"/>
        </w:numPr>
        <w:spacing w:after="100" w:line="300"/>
      </w:pPr>
      <w:r>
        <w:rPr>
          <w:rFonts w:ascii="Arial" w:cs="Arial" w:eastAsia="Arial" w:hAnsi="Arial"/>
          <w:color w:val="1E293B"/>
          <w:sz w:val="21"/>
          <w:szCs w:val="21"/>
        </w:rPr>
        <w:t xml:space="preserve">Integrate Razorpay Subscriptions for recurring billing (UPI AutoPay + card mandates)</w:t>
      </w:r>
    </w:p>
    <w:p>
      <w:pPr>
        <w:pStyle w:val="ListParagraph"/>
        <w:numPr>
          <w:ilvl w:val="0"/>
          <w:numId w:val="9"/>
        </w:numPr>
        <w:spacing w:after="100" w:line="300"/>
      </w:pPr>
      <w:r>
        <w:rPr>
          <w:rFonts w:ascii="Arial" w:cs="Arial" w:eastAsia="Arial" w:hAnsi="Arial"/>
          <w:color w:val="1E293B"/>
          <w:sz w:val="21"/>
          <w:szCs w:val="21"/>
        </w:rPr>
        <w:t xml:space="preserve">In-app upgrade nudges at natural friction points (hitting asset limit, trying to export)</w:t>
      </w:r>
    </w:p>
    <w:p>
      <w:pPr>
        <w:pStyle w:val="ListParagraph"/>
        <w:numPr>
          <w:ilvl w:val="0"/>
          <w:numId w:val="9"/>
        </w:numPr>
        <w:spacing w:after="100" w:line="300"/>
      </w:pPr>
      <w:r>
        <w:rPr>
          <w:rFonts w:ascii="Arial" w:cs="Arial" w:eastAsia="Arial" w:hAnsi="Arial"/>
          <w:color w:val="1E293B"/>
          <w:sz w:val="21"/>
          <w:szCs w:val="21"/>
        </w:rPr>
        <w:t xml:space="preserve">Email drip campaign for free users highlighting what they’re missing (emergency access, expiry alerts)</w:t>
      </w:r>
    </w:p>
    <w:p>
      <w:pPr>
        <w:pStyle w:val="Heading2"/>
        <w:spacing w:before="280" w:after="160"/>
      </w:pPr>
      <w:r>
        <w:rPr>
          <w:rFonts w:ascii="Arial" w:cs="Arial" w:eastAsia="Arial" w:hAnsi="Arial"/>
          <w:b/>
          <w:bCs/>
          <w:color w:val="1E293B"/>
          <w:sz w:val="24"/>
          <w:szCs w:val="24"/>
        </w:rPr>
        <w:t xml:space="preserve">Phase 3: Growth &amp; Expansion (Month 6–12)</w:t>
      </w:r>
    </w:p>
    <w:p>
      <w:pPr>
        <w:spacing w:after="140" w:line="300"/>
      </w:pPr>
      <w:r>
        <w:rPr>
          <w:rFonts w:ascii="Arial" w:cs="Arial" w:eastAsia="Arial" w:hAnsi="Arial"/>
          <w:color w:val="1E293B"/>
          <w:sz w:val="21"/>
          <w:szCs w:val="21"/>
        </w:rPr>
        <w:t xml:space="preserve">Goal: Scale to 5,000–15,000 users, launch family plan and advisor channel.</w:t>
      </w:r>
    </w:p>
    <w:p>
      <w:pPr>
        <w:pStyle w:val="ListParagraph"/>
        <w:numPr>
          <w:ilvl w:val="0"/>
          <w:numId w:val="10"/>
        </w:numPr>
        <w:spacing w:after="100" w:line="300"/>
      </w:pPr>
      <w:r>
        <w:rPr>
          <w:rFonts w:ascii="Arial" w:cs="Arial" w:eastAsia="Arial" w:hAnsi="Arial"/>
          <w:color w:val="1E293B"/>
          <w:sz w:val="21"/>
          <w:szCs w:val="21"/>
        </w:rPr>
        <w:t xml:space="preserve">Launch Family Plan for household coverage</w:t>
      </w:r>
    </w:p>
    <w:p>
      <w:pPr>
        <w:pStyle w:val="ListParagraph"/>
        <w:numPr>
          <w:ilvl w:val="0"/>
          <w:numId w:val="10"/>
        </w:numPr>
        <w:spacing w:after="100" w:line="300"/>
      </w:pPr>
      <w:r>
        <w:rPr>
          <w:rFonts w:ascii="Arial" w:cs="Arial" w:eastAsia="Arial" w:hAnsi="Arial"/>
          <w:color w:val="1E293B"/>
          <w:sz w:val="21"/>
          <w:szCs w:val="21"/>
        </w:rPr>
        <w:t xml:space="preserve">Pilot advisor channel with 10–20 financial advisors / insurance agents</w:t>
      </w:r>
    </w:p>
    <w:p>
      <w:pPr>
        <w:pStyle w:val="ListParagraph"/>
        <w:numPr>
          <w:ilvl w:val="0"/>
          <w:numId w:val="10"/>
        </w:numPr>
        <w:spacing w:after="100" w:line="300"/>
      </w:pPr>
      <w:r>
        <w:rPr>
          <w:rFonts w:ascii="Arial" w:cs="Arial" w:eastAsia="Arial" w:hAnsi="Arial"/>
          <w:color w:val="1E293B"/>
          <w:sz w:val="21"/>
          <w:szCs w:val="21"/>
        </w:rPr>
        <w:t xml:space="preserve">Hindi language support to expand TAM</w:t>
      </w:r>
    </w:p>
    <w:p>
      <w:pPr>
        <w:pStyle w:val="ListParagraph"/>
        <w:numPr>
          <w:ilvl w:val="0"/>
          <w:numId w:val="10"/>
        </w:numPr>
        <w:spacing w:after="100" w:line="300"/>
      </w:pPr>
      <w:r>
        <w:rPr>
          <w:rFonts w:ascii="Arial" w:cs="Arial" w:eastAsia="Arial" w:hAnsi="Arial"/>
          <w:color w:val="1E293B"/>
          <w:sz w:val="21"/>
          <w:szCs w:val="21"/>
        </w:rPr>
        <w:t xml:space="preserve">Mobile app (React Native) for better engagement and push notifications</w:t>
      </w:r>
    </w:p>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7. Financial Projections</w:t>
      </w:r>
    </w:p>
    <w:p>
      <w:pPr>
        <w:pStyle w:val="Heading2"/>
        <w:spacing w:before="280" w:after="160"/>
      </w:pPr>
      <w:r>
        <w:rPr>
          <w:rFonts w:ascii="Arial" w:cs="Arial" w:eastAsia="Arial" w:hAnsi="Arial"/>
          <w:b/>
          <w:bCs/>
          <w:color w:val="1E293B"/>
          <w:sz w:val="24"/>
          <w:szCs w:val="24"/>
        </w:rPr>
        <w:t xml:space="preserve">Cost Structure (Monthly)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6"/>
        <w:gridCol w:w="3610"/>
      </w:tblGrid>
      <w:tr>
        <w:tc>
          <w:tcPr>
            <w:tcW w:type="dxa" w:w="361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Expense</w:t>
            </w:r>
          </w:p>
        </w:tc>
        <w:tc>
          <w:tcPr>
            <w:tcW w:type="dxa" w:w="180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361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Supabase (Pro plan)</w:t>
            </w:r>
          </w:p>
        </w:tc>
        <w:tc>
          <w:tcPr>
            <w:tcW w:type="dxa" w:w="18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₹2,100</w:t>
            </w:r>
          </w:p>
        </w:tc>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$25/month, covers up to 100K users, 8GB database</w:t>
            </w:r>
          </w:p>
        </w:tc>
      </w:tr>
      <w:tr>
        <w:tc>
          <w:tcPr>
            <w:tcW w:type="dxa" w:w="36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Vercel (Hosting)</w:t>
            </w:r>
          </w:p>
        </w:tc>
        <w:tc>
          <w:tcPr>
            <w:tcW w:type="dxa" w:w="18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₹1,700</w:t>
            </w:r>
          </w:p>
        </w:tc>
        <w:tc>
          <w:tcPr>
            <w:tcW w:type="dxa" w:w="36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$20/month Pro plan, auto-scaling, global CDN</w:t>
            </w:r>
          </w:p>
        </w:tc>
      </w:tr>
      <w:tr>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Domain + Email</w:t>
            </w:r>
          </w:p>
        </w:tc>
        <w:tc>
          <w:tcPr>
            <w:tcW w:type="dxa" w:w="18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₹250</w:t>
            </w:r>
          </w:p>
        </w:tc>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 domain + Zoho Mail free tier</w:t>
            </w:r>
          </w:p>
        </w:tc>
      </w:tr>
      <w:tr>
        <w:tc>
          <w:tcPr>
            <w:tcW w:type="dxa" w:w="36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Razorpay (payment processing)</w:t>
            </w:r>
          </w:p>
        </w:tc>
        <w:tc>
          <w:tcPr>
            <w:tcW w:type="dxa" w:w="18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~2–3% per txn</w:t>
            </w:r>
          </w:p>
        </w:tc>
        <w:tc>
          <w:tcPr>
            <w:tcW w:type="dxa" w:w="36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 gateway + 0.99% subscription fee + GST, only on revenue</w:t>
            </w:r>
          </w:p>
        </w:tc>
      </w:tr>
      <w:tr>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Marketing (Month 3+)</w:t>
            </w:r>
          </w:p>
        </w:tc>
        <w:tc>
          <w:tcPr>
            <w:tcW w:type="dxa" w:w="18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₹5,000–10,000</w:t>
            </w:r>
          </w:p>
        </w:tc>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Social media ads, content creation, SEO tools</w:t>
            </w:r>
          </w:p>
        </w:tc>
      </w:tr>
      <w:tr>
        <w:tc>
          <w:tcPr>
            <w:tcW w:type="dxa" w:w="36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Miscellaneous</w:t>
            </w:r>
          </w:p>
        </w:tc>
        <w:tc>
          <w:tcPr>
            <w:tcW w:type="dxa" w:w="18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₹2,000</w:t>
            </w:r>
          </w:p>
        </w:tc>
        <w:tc>
          <w:tcPr>
            <w:tcW w:type="dxa" w:w="36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Analytics, error monitoring, email service</w:t>
            </w:r>
          </w:p>
        </w:tc>
      </w:tr>
      <w:tr>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TOTAL (Pre-revenue)</w:t>
            </w:r>
          </w:p>
        </w:tc>
        <w:tc>
          <w:tcPr>
            <w:tcW w:type="dxa" w:w="18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E40AF"/>
                <w:sz w:val="20"/>
                <w:szCs w:val="20"/>
              </w:rPr>
              <w:t xml:space="preserve">₹6,050/mo</w:t>
            </w:r>
          </w:p>
        </w:tc>
        <w:tc>
          <w:tcPr>
            <w:tcW w:type="dxa" w:w="36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Months 1–3, before marketing spend</w:t>
            </w:r>
          </w:p>
        </w:tc>
      </w:tr>
      <w:tr>
        <w:tc>
          <w:tcPr>
            <w:tcW w:type="dxa" w:w="361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TOTAL (Post-launch)</w:t>
            </w:r>
          </w:p>
        </w:tc>
        <w:tc>
          <w:tcPr>
            <w:tcW w:type="dxa" w:w="180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20"/>
                <w:szCs w:val="20"/>
              </w:rPr>
              <w:t xml:space="preserve">₹11,050–16,050/mo</w:t>
            </w:r>
          </w:p>
        </w:tc>
        <w:tc>
          <w:tcPr>
            <w:tcW w:type="dxa" w:w="361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Months 3+, including marketing</w:t>
            </w:r>
          </w:p>
        </w:tc>
      </w:tr>
    </w:tbl>
    <w:p>
      <w:pPr>
        <w:pStyle w:val="Heading2"/>
        <w:spacing w:before="280" w:after="160"/>
      </w:pPr>
      <w:r>
        <w:rPr>
          <w:rFonts w:ascii="Arial" w:cs="Arial" w:eastAsia="Arial" w:hAnsi="Arial"/>
          <w:b/>
          <w:bCs/>
          <w:color w:val="1E293B"/>
          <w:sz w:val="24"/>
          <w:szCs w:val="24"/>
        </w:rPr>
        <w:t xml:space="preserve">Revenue Projections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5"/>
        <w:gridCol w:w="1504"/>
      </w:tblGrid>
      <w:tr>
        <w:tc>
          <w:tcPr>
            <w:tcW w:type="dxa" w:w="1505"/>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1504"/>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1504"/>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w:t>
            </w:r>
          </w:p>
        </w:tc>
        <w:tc>
          <w:tcPr>
            <w:tcW w:type="dxa" w:w="1504"/>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c>
          <w:tcPr>
            <w:tcW w:type="dxa" w:w="1505"/>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Costs</w:t>
            </w:r>
          </w:p>
        </w:tc>
        <w:tc>
          <w:tcPr>
            <w:tcW w:type="dxa" w:w="1504"/>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Net</w:t>
            </w:r>
          </w:p>
        </w:tc>
      </w:tr>
      <w:tr>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Q1 (M1–3)</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1,000</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 (free)</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₹0</w:t>
            </w:r>
          </w:p>
        </w:tc>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₹18,150</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DC2626"/>
                <w:sz w:val="20"/>
                <w:szCs w:val="20"/>
              </w:rPr>
              <w:t xml:space="preserve">-₹18,150</w:t>
            </w:r>
          </w:p>
        </w:tc>
      </w:tr>
      <w:tr>
        <w:tc>
          <w:tcPr>
            <w:tcW w:type="dxa" w:w="150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Q2 (M4–6)</w:t>
            </w:r>
          </w:p>
        </w:tc>
        <w:tc>
          <w:tcPr>
            <w:tcW w:type="dxa" w:w="1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2,500</w:t>
            </w:r>
          </w:p>
        </w:tc>
        <w:tc>
          <w:tcPr>
            <w:tcW w:type="dxa" w:w="1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150 (6%)</w:t>
            </w:r>
          </w:p>
        </w:tc>
        <w:tc>
          <w:tcPr>
            <w:tcW w:type="dxa" w:w="1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₹44,850</w:t>
            </w:r>
          </w:p>
        </w:tc>
        <w:tc>
          <w:tcPr>
            <w:tcW w:type="dxa" w:w="150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₹42,000</w:t>
            </w:r>
          </w:p>
        </w:tc>
        <w:tc>
          <w:tcPr>
            <w:tcW w:type="dxa" w:w="150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+₹2,850</w:t>
            </w:r>
          </w:p>
        </w:tc>
      </w:tr>
      <w:tr>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Q3 (M7–9)</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5,000</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350 (7%)</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₹1,04,650</w:t>
            </w:r>
          </w:p>
        </w:tc>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₹48,000</w:t>
            </w:r>
          </w:p>
        </w:tc>
        <w:tc>
          <w:tcPr>
            <w:tcW w:type="dxa" w:w="150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+₹56,650</w:t>
            </w:r>
          </w:p>
        </w:tc>
      </w:tr>
      <w:tr>
        <w:tc>
          <w:tcPr>
            <w:tcW w:type="dxa" w:w="1505"/>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Q4 (M10–12)</w:t>
            </w:r>
          </w:p>
        </w:tc>
        <w:tc>
          <w:tcPr>
            <w:tcW w:type="dxa" w:w="1504"/>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8,000</w:t>
            </w:r>
          </w:p>
        </w:tc>
        <w:tc>
          <w:tcPr>
            <w:tcW w:type="dxa" w:w="1504"/>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640 (8%)</w:t>
            </w:r>
          </w:p>
        </w:tc>
        <w:tc>
          <w:tcPr>
            <w:tcW w:type="dxa" w:w="1504"/>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₹1,91,360</w:t>
            </w:r>
          </w:p>
        </w:tc>
        <w:tc>
          <w:tcPr>
            <w:tcW w:type="dxa" w:w="1505"/>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₹52,000</w:t>
            </w:r>
          </w:p>
        </w:tc>
        <w:tc>
          <w:tcPr>
            <w:tcW w:type="dxa" w:w="1504"/>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0"/>
                <w:szCs w:val="20"/>
              </w:rPr>
              <w:t xml:space="preserve">+₹1,39,360</w:t>
            </w:r>
          </w:p>
        </w:tc>
      </w:tr>
    </w:tbl>
    <w:p>
      <w:pPr>
        <w:spacing w:after="140" w:line="300"/>
      </w:pPr>
      <w:r>
        <w:rPr>
          <w:rFonts w:ascii="Arial" w:cs="Arial" w:eastAsia="Arial" w:hAnsi="Arial"/>
          <w:color w:val="1E293B"/>
          <w:sz w:val="21"/>
          <w:szCs w:val="21"/>
        </w:rPr>
        <w:t xml:space="preserve">Year 1 total revenue (conservative): ₹3,40,860. Year 1 total costs: ₹1,60,150. Net: +₹1,80,710.</w:t>
      </w:r>
    </w:p>
    <w:p>
      <w:pPr>
        <w:spacing w:after="140" w:line="300"/>
      </w:pPr>
      <w:r>
        <w:rPr>
          <w:rFonts w:ascii="Arial" w:cs="Arial" w:eastAsia="Arial" w:hAnsi="Arial"/>
          <w:color w:val="1E293B"/>
          <w:sz w:val="21"/>
          <w:szCs w:val="21"/>
        </w:rPr>
        <w:t xml:space="preserve">Break-even point: Month 4–5 (within 2 months of launching Pro tier).</w:t>
      </w:r>
    </w:p>
    <w:p>
      <w:pPr>
        <w:pStyle w:val="Heading2"/>
        <w:spacing w:before="280" w:after="160"/>
      </w:pPr>
      <w:r>
        <w:rPr>
          <w:rFonts w:ascii="Arial" w:cs="Arial" w:eastAsia="Arial" w:hAnsi="Arial"/>
          <w:b/>
          <w:bCs/>
          <w:color w:val="1E293B"/>
          <w:sz w:val="24"/>
          <w:szCs w:val="24"/>
        </w:rPr>
        <w:t xml:space="preserve">Year 2 Projection</w:t>
      </w:r>
    </w:p>
    <w:p>
      <w:pPr>
        <w:spacing w:after="140" w:line="300"/>
      </w:pPr>
      <w:r>
        <w:rPr>
          <w:rFonts w:ascii="Arial" w:cs="Arial" w:eastAsia="Arial" w:hAnsi="Arial"/>
          <w:color w:val="1E293B"/>
          <w:sz w:val="21"/>
          <w:szCs w:val="21"/>
        </w:rPr>
        <w:t xml:space="preserve">With family plans, advisor channel, and organic growth: 20,000–40,000 users, 2,000–4,000 paid subscribers. ARR target: ₹8–15L. This assumes continued low-cost organic acquisition and no external funding.</w:t>
      </w:r>
    </w:p>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8. Feature Gate Implementation</w:t>
      </w:r>
    </w:p>
    <w:p>
      <w:pPr>
        <w:spacing w:after="140" w:line="300"/>
      </w:pPr>
      <w:r>
        <w:rPr>
          <w:rFonts w:ascii="Arial" w:cs="Arial" w:eastAsia="Arial" w:hAnsi="Arial"/>
          <w:color w:val="1E293B"/>
          <w:sz w:val="21"/>
          <w:szCs w:val="21"/>
        </w:rPr>
        <w:t xml:space="preserve">Feature gating is the technical mechanism that enforces free vs. Pro tier limits. Here’s the implementation plan:</w:t>
      </w:r>
    </w:p>
    <w:p>
      <w:pPr>
        <w:pStyle w:val="Heading2"/>
        <w:spacing w:before="280" w:after="160"/>
      </w:pPr>
      <w:r>
        <w:rPr>
          <w:rFonts w:ascii="Arial" w:cs="Arial" w:eastAsia="Arial" w:hAnsi="Arial"/>
          <w:b/>
          <w:bCs/>
          <w:color w:val="1E293B"/>
          <w:sz w:val="24"/>
          <w:szCs w:val="24"/>
        </w:rPr>
        <w:t xml:space="preserve">Database Changes</w:t>
      </w:r>
    </w:p>
    <w:p>
      <w:pPr>
        <w:pStyle w:val="ListParagraph"/>
        <w:numPr>
          <w:ilvl w:val="0"/>
          <w:numId w:val="5"/>
        </w:numPr>
        <w:spacing w:after="100" w:line="300"/>
      </w:pPr>
      <w:r>
        <w:rPr>
          <w:rFonts w:ascii="Arial" w:cs="Arial" w:eastAsia="Arial" w:hAnsi="Arial"/>
          <w:color w:val="1E293B"/>
          <w:sz w:val="21"/>
          <w:szCs w:val="21"/>
        </w:rPr>
        <w:t xml:space="preserve">New subscriptions table: user_id, plan (FREE/PRO/FAMILY), status (ACTIVE/EXPIRED/CANCELLED), razorpay_subscription_id, current_period_start, current_period_end</w:t>
      </w:r>
    </w:p>
    <w:p>
      <w:pPr>
        <w:pStyle w:val="ListParagraph"/>
        <w:numPr>
          <w:ilvl w:val="0"/>
          <w:numId w:val="5"/>
        </w:numPr>
        <w:spacing w:after="100" w:line="300"/>
      </w:pPr>
      <w:r>
        <w:rPr>
          <w:rFonts w:ascii="Arial" w:cs="Arial" w:eastAsia="Arial" w:hAnsi="Arial"/>
          <w:color w:val="1E293B"/>
          <w:sz w:val="21"/>
          <w:szCs w:val="21"/>
        </w:rPr>
        <w:t xml:space="preserve">Razorpay webhook handler for subscription events (activated, charged, cancelled, expired)</w:t>
      </w:r>
    </w:p>
    <w:p>
      <w:pPr>
        <w:pStyle w:val="Heading2"/>
        <w:spacing w:before="280" w:after="160"/>
      </w:pPr>
      <w:r>
        <w:rPr>
          <w:rFonts w:ascii="Arial" w:cs="Arial" w:eastAsia="Arial" w:hAnsi="Arial"/>
          <w:b/>
          <w:bCs/>
          <w:color w:val="1E293B"/>
          <w:sz w:val="24"/>
          <w:szCs w:val="24"/>
        </w:rPr>
        <w:t xml:space="preserve">Enforcement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3310"/>
        <w:gridCol w:w="3310"/>
      </w:tblGrid>
      <w:tr>
        <w:tc>
          <w:tcPr>
            <w:tcW w:type="dxa" w:w="240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331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Behavior</w:t>
            </w:r>
          </w:p>
        </w:tc>
        <w:tc>
          <w:tcPr>
            <w:tcW w:type="dxa" w:w="331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Pro Behavior</w:t>
            </w:r>
          </w:p>
        </w:tc>
      </w:tr>
      <w:tr>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Asset creation</w:t>
            </w:r>
          </w:p>
        </w:tc>
        <w:tc>
          <w:tcPr>
            <w:tcW w:type="dxa" w:w="33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Block after 3 assets with upgrade prompt</w:t>
            </w:r>
          </w:p>
        </w:tc>
        <w:tc>
          <w:tcPr>
            <w:tcW w:type="dxa" w:w="33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59669"/>
                <w:sz w:val="20"/>
                <w:szCs w:val="20"/>
              </w:rPr>
              <w:t xml:space="preserve">Unlimited</w:t>
            </w:r>
          </w:p>
        </w:tc>
      </w:tr>
      <w:tr>
        <w:tc>
          <w:tcPr>
            <w:tcW w:type="dxa" w:w="24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Nominee creation</w:t>
            </w:r>
          </w:p>
        </w:tc>
        <w:tc>
          <w:tcPr>
            <w:tcW w:type="dxa" w:w="33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Block after 2 nominees with upgrade prompt</w:t>
            </w:r>
          </w:p>
        </w:tc>
        <w:tc>
          <w:tcPr>
            <w:tcW w:type="dxa" w:w="33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59669"/>
                <w:sz w:val="20"/>
                <w:szCs w:val="20"/>
              </w:rPr>
              <w:t xml:space="preserve">Unlimited</w:t>
            </w:r>
          </w:p>
        </w:tc>
      </w:tr>
      <w:tr>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Export page</w:t>
            </w:r>
          </w:p>
        </w:tc>
        <w:tc>
          <w:tcPr>
            <w:tcW w:type="dxa" w:w="33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Show blurred preview + upgrade CTA</w:t>
            </w:r>
          </w:p>
        </w:tc>
        <w:tc>
          <w:tcPr>
            <w:tcW w:type="dxa" w:w="33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59669"/>
                <w:sz w:val="20"/>
                <w:szCs w:val="20"/>
              </w:rPr>
              <w:t xml:space="preserve">Full PDF export</w:t>
            </w:r>
          </w:p>
        </w:tc>
      </w:tr>
      <w:tr>
        <w:tc>
          <w:tcPr>
            <w:tcW w:type="dxa" w:w="24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Emergency access</w:t>
            </w:r>
          </w:p>
        </w:tc>
        <w:tc>
          <w:tcPr>
            <w:tcW w:type="dxa" w:w="33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Page visible but all actions gated</w:t>
            </w:r>
          </w:p>
        </w:tc>
        <w:tc>
          <w:tcPr>
            <w:tcW w:type="dxa" w:w="331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059669"/>
                <w:sz w:val="20"/>
                <w:szCs w:val="20"/>
              </w:rPr>
              <w:t xml:space="preserve">Full trusted contact + dossier</w:t>
            </w:r>
          </w:p>
        </w:tc>
      </w:tr>
      <w:tr>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Reminders</w:t>
            </w:r>
          </w:p>
        </w:tc>
        <w:tc>
          <w:tcPr>
            <w:tcW w:type="dxa" w:w="33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Only nominee gap alerts</w:t>
            </w:r>
          </w:p>
        </w:tc>
        <w:tc>
          <w:tcPr>
            <w:tcW w:type="dxa" w:w="331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59669"/>
                <w:sz w:val="20"/>
                <w:szCs w:val="20"/>
              </w:rPr>
              <w:t xml:space="preserve">All reminder types</w:t>
            </w:r>
          </w:p>
        </w:tc>
      </w:tr>
    </w:tbl>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9. Launch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2256"/>
        <w:gridCol w:w="5265"/>
      </w:tblGrid>
      <w:tr>
        <w:tc>
          <w:tcPr>
            <w:tcW w:type="dxa" w:w="1505"/>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W w:type="dxa" w:w="225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265"/>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Week 1–2</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Polish &amp; QA</w:t>
            </w:r>
          </w:p>
        </w:tc>
        <w:tc>
          <w:tcPr>
            <w:tcW w:type="dxa" w:w="526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Fix RLS policies, test all flows end-to-end, mobile responsiveness audit, error handling</w:t>
            </w:r>
          </w:p>
        </w:tc>
      </w:tr>
      <w:tr>
        <w:tc>
          <w:tcPr>
            <w:tcW w:type="dxa" w:w="150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Week 3</w:t>
            </w:r>
          </w:p>
        </w:tc>
        <w:tc>
          <w:tcPr>
            <w:tcW w:type="dxa" w:w="22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Soft Launch</w:t>
            </w:r>
          </w:p>
        </w:tc>
        <w:tc>
          <w:tcPr>
            <w:tcW w:type="dxa" w:w="526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Deploy to production (Vercel + Supabase). Invite 50 beta testers from personal network. Collect feedback.</w:t>
            </w:r>
          </w:p>
        </w:tc>
      </w:tr>
      <w:tr>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Week 4</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Public Launch</w:t>
            </w:r>
          </w:p>
        </w:tc>
        <w:tc>
          <w:tcPr>
            <w:tcW w:type="dxa" w:w="526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Product Hunt India, Reddit posts, Twitter/X launch thread. All features free. Start collecting analytics.</w:t>
            </w:r>
          </w:p>
        </w:tc>
      </w:tr>
      <w:tr>
        <w:tc>
          <w:tcPr>
            <w:tcW w:type="dxa" w:w="150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 2</w:t>
            </w:r>
          </w:p>
        </w:tc>
        <w:tc>
          <w:tcPr>
            <w:tcW w:type="dxa" w:w="22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Iterate &amp; Grow</w:t>
            </w:r>
          </w:p>
        </w:tc>
        <w:tc>
          <w:tcPr>
            <w:tcW w:type="dxa" w:w="526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Implement user feedback, add analytics dashboard, content marketing (2 blog posts/week), SEO optimization.</w:t>
            </w:r>
          </w:p>
        </w:tc>
      </w:tr>
      <w:tr>
        <w:tc>
          <w:tcPr>
            <w:tcW w:type="dxa" w:w="1505"/>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 3</w:t>
            </w:r>
          </w:p>
        </w:tc>
        <w:tc>
          <w:tcPr>
            <w:tcW w:type="dxa" w:w="2256"/>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left"/>
            </w:pPr>
            <w:r>
              <w:rPr>
                <w:rFonts w:ascii="Arial" w:cs="Arial" w:eastAsia="Arial" w:hAnsi="Arial"/>
                <w:b/>
                <w:bCs/>
                <w:color w:val="D97706"/>
                <w:sz w:val="20"/>
                <w:szCs w:val="20"/>
              </w:rPr>
              <w:t xml:space="preserve">Monetization</w:t>
            </w:r>
          </w:p>
        </w:tc>
        <w:tc>
          <w:tcPr>
            <w:tcW w:type="dxa" w:w="5265"/>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Integrate Razorpay, implement feature gates, launch Pro tier at ₹299/year. Email campaign to free users.</w:t>
            </w:r>
          </w:p>
        </w:tc>
      </w:tr>
      <w:tr>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 4–5</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Optimize Conversion</w:t>
            </w:r>
          </w:p>
        </w:tc>
        <w:tc>
          <w:tcPr>
            <w:tcW w:type="dxa" w:w="526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A/B test upgrade prompts, refine pricing page, add monthly billing option, implement referral program.</w:t>
            </w:r>
          </w:p>
        </w:tc>
      </w:tr>
      <w:tr>
        <w:tc>
          <w:tcPr>
            <w:tcW w:type="dxa" w:w="150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 6</w:t>
            </w:r>
          </w:p>
        </w:tc>
        <w:tc>
          <w:tcPr>
            <w:tcW w:type="dxa" w:w="22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Family Plan</w:t>
            </w:r>
          </w:p>
        </w:tc>
        <w:tc>
          <w:tcPr>
            <w:tcW w:type="dxa" w:w="5265"/>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Launch ₹499/year family plan for 2–3 vaults. Begin advisor channel pilot with 10–20 advisors.</w:t>
            </w:r>
          </w:p>
        </w:tc>
      </w:tr>
      <w:tr>
        <w:tc>
          <w:tcPr>
            <w:tcW w:type="dxa" w:w="150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 9</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Hindi + Mobile</w:t>
            </w:r>
          </w:p>
        </w:tc>
        <w:tc>
          <w:tcPr>
            <w:tcW w:type="dxa" w:w="5265"/>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Add Hindi language support. Begin React Native mobile app development.</w:t>
            </w:r>
          </w:p>
        </w:tc>
      </w:tr>
      <w:tr>
        <w:tc>
          <w:tcPr>
            <w:tcW w:type="dxa" w:w="1505"/>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 12</w:t>
            </w:r>
          </w:p>
        </w:tc>
        <w:tc>
          <w:tcPr>
            <w:tcW w:type="dxa" w:w="2256"/>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Scale</w:t>
            </w:r>
          </w:p>
        </w:tc>
        <w:tc>
          <w:tcPr>
            <w:tcW w:type="dxa" w:w="5265"/>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 5,000–15,000 users, 400–1,500 paid. Evaluate funding needs for accelerated growth.</w:t>
            </w:r>
          </w:p>
        </w:tc>
      </w:tr>
    </w:tbl>
    <w:p>
      <w:r>
        <w:br w:type="page"/>
      </w:r>
    </w:p>
    <w:p>
      <w:pPr>
        <w:pStyle w:val="Heading1"/>
        <w:pBdr>
          <w:bottom w:val="single" w:color="1E40AF" w:sz="4" w:space="6"/>
        </w:pBdr>
        <w:spacing w:before="360" w:after="200"/>
      </w:pPr>
      <w:r>
        <w:rPr>
          <w:rFonts w:ascii="Arial" w:cs="Arial" w:eastAsia="Arial" w:hAnsi="Arial"/>
          <w:b/>
          <w:bCs/>
          <w:color w:val="1E40AF"/>
          <w:sz w:val="28"/>
          <w:szCs w:val="28"/>
        </w:rPr>
        <w:t xml:space="preserve">10. Risks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2256"/>
        <w:gridCol w:w="4364"/>
      </w:tblGrid>
      <w:tr>
        <w:tc>
          <w:tcPr>
            <w:tcW w:type="dxa" w:w="240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256"/>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364"/>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Users won’t pay — free tier is enough</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Medium</w:t>
            </w:r>
          </w:p>
        </w:tc>
        <w:tc>
          <w:tcPr>
            <w:tcW w:type="dxa" w:w="436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Free tier capped at 3 assets (most users have 5+). Gate high-value features (emergency access, export).</w:t>
            </w:r>
          </w:p>
        </w:tc>
      </w:tr>
      <w:tr>
        <w:tc>
          <w:tcPr>
            <w:tcW w:type="dxa" w:w="24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Trust concerns — users hesitant to store financial data</w:t>
            </w:r>
          </w:p>
        </w:tc>
        <w:tc>
          <w:tcPr>
            <w:tcW w:type="dxa" w:w="22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DC2626"/>
                <w:sz w:val="20"/>
                <w:szCs w:val="20"/>
              </w:rPr>
              <w:t xml:space="preserve">High</w:t>
            </w:r>
          </w:p>
        </w:tc>
        <w:tc>
          <w:tcPr>
            <w:tcW w:type="dxa" w:w="436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Supabase RLS ensures data isolation. No actual account credentials stored — only identifiers and value bands. SOC 2 compliance via Supabase.</w:t>
            </w:r>
          </w:p>
        </w:tc>
      </w:tr>
      <w:tr>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Low engagement — set-and-forget product</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Medium</w:t>
            </w:r>
          </w:p>
        </w:tc>
        <w:tc>
          <w:tcPr>
            <w:tcW w:type="dxa" w:w="436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Smart reminders bring users back (expiry alerts, review nudges). Annual review prompt. Family sharing creates return visits.</w:t>
            </w:r>
          </w:p>
        </w:tc>
      </w:tr>
      <w:tr>
        <w:tc>
          <w:tcPr>
            <w:tcW w:type="dxa" w:w="240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Competition from banks/fintechs</w:t>
            </w:r>
          </w:p>
        </w:tc>
        <w:tc>
          <w:tcPr>
            <w:tcW w:type="dxa" w:w="225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059669"/>
                <w:sz w:val="20"/>
                <w:szCs w:val="20"/>
              </w:rPr>
              <w:t xml:space="preserve">Low (near-term)</w:t>
            </w:r>
          </w:p>
        </w:tc>
        <w:tc>
          <w:tcPr>
            <w:tcW w:type="dxa" w:w="4364"/>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Banks focus on their own products. Cross-institution aggregation is KutumbKosh’s moat. First-mover advantage in this specific niche.</w:t>
            </w:r>
          </w:p>
        </w:tc>
      </w:tr>
      <w:tr>
        <w:tc>
          <w:tcPr>
            <w:tcW w:type="dxa" w:w="240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Regulatory changes (DPDPA compliance)</w:t>
            </w:r>
          </w:p>
        </w:tc>
        <w:tc>
          <w:tcPr>
            <w:tcW w:type="dxa" w:w="2256"/>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D97706"/>
                <w:sz w:val="20"/>
                <w:szCs w:val="20"/>
              </w:rPr>
              <w:t xml:space="preserve">Medium</w:t>
            </w:r>
          </w:p>
        </w:tc>
        <w:tc>
          <w:tcPr>
            <w:tcW w:type="dxa" w:w="4364"/>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Built privacy-first from day one. No data selling, minimal data collection, user controls all their data. Easy to adapt.</w:t>
            </w:r>
          </w:p>
        </w:tc>
      </w:tr>
    </w:tbl>
    <w:p>
      <w:pPr>
        <w:pStyle w:val="Heading1"/>
        <w:pBdr>
          <w:bottom w:val="single" w:color="1E40AF" w:sz="4" w:space="6"/>
        </w:pBdr>
        <w:spacing w:before="360" w:after="200"/>
      </w:pPr>
      <w:r>
        <w:rPr>
          <w:rFonts w:ascii="Arial" w:cs="Arial" w:eastAsia="Arial" w:hAnsi="Arial"/>
          <w:b/>
          <w:bCs/>
          <w:color w:val="1E40AF"/>
          <w:sz w:val="28"/>
          <w:szCs w:val="28"/>
        </w:rPr>
        <w:t xml:space="preserve">11. Key Success Metrics</w:t>
      </w:r>
    </w:p>
    <w:p>
      <w:pPr>
        <w:pStyle w:val="Heading2"/>
        <w:spacing w:before="280" w:after="160"/>
      </w:pPr>
      <w:r>
        <w:rPr>
          <w:rFonts w:ascii="Arial" w:cs="Arial" w:eastAsia="Arial" w:hAnsi="Arial"/>
          <w:b/>
          <w:bCs/>
          <w:color w:val="1E293B"/>
          <w:sz w:val="24"/>
          <w:szCs w:val="24"/>
        </w:rPr>
        <w:t xml:space="preserve">North Star Metric</w:t>
      </w:r>
    </w:p>
    <w:p>
      <w:pPr>
        <w:spacing w:after="140" w:line="300"/>
      </w:pPr>
      <w:r>
        <w:rPr>
          <w:rFonts w:ascii="Arial" w:cs="Arial" w:eastAsia="Arial" w:hAnsi="Arial"/>
          <w:color w:val="1E293B"/>
          <w:sz w:val="21"/>
          <w:szCs w:val="21"/>
        </w:rPr>
        <w:t xml:space="preserve">Vault Completeness Score — the average percentage of a user’s financial life documented in KutumbKosh. Higher completeness = stickier product = higher willingness to pay.</w:t>
      </w:r>
    </w:p>
    <w:p>
      <w:pPr>
        <w:pStyle w:val="Heading2"/>
        <w:spacing w:before="280" w:after="160"/>
      </w:pPr>
      <w:r>
        <w:rPr>
          <w:rFonts w:ascii="Arial" w:cs="Arial" w:eastAsia="Arial" w:hAnsi="Arial"/>
          <w:b/>
          <w:bCs/>
          <w:color w:val="1E293B"/>
          <w:sz w:val="24"/>
          <w:szCs w:val="24"/>
        </w:rPr>
        <w:t xml:space="preserve">KPIs to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9"/>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 Target</w:t>
            </w:r>
          </w:p>
        </w:tc>
        <w:tc>
          <w:tcPr>
            <w:tcW w:type="dxa" w:w="3008"/>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 Target</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Registered users</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1,000</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8,000</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Avg. assets per user</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Nominee coverage rate</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50%</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75%+</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Free → Pro conversion</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8–10%</w:t>
            </w:r>
          </w:p>
        </w:tc>
      </w:tr>
      <w:tr>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Monthly active users</w:t>
            </w:r>
          </w:p>
        </w:tc>
        <w:tc>
          <w:tcPr>
            <w:tcW w:type="dxa" w:w="3009"/>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40%</w:t>
            </w:r>
          </w:p>
        </w:tc>
        <w:tc>
          <w:tcPr>
            <w:tcW w:type="dxa" w:w="3008"/>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30%+ (healthy for this category)</w:t>
            </w:r>
          </w:p>
        </w:tc>
      </w:tr>
      <w:tr>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Churn rate (Pro annual)</w:t>
            </w:r>
          </w:p>
        </w:tc>
        <w:tc>
          <w:tcPr>
            <w:tcW w:type="dxa" w:w="3009"/>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c>
          <w:tcPr>
            <w:tcW w:type="dxa" w:w="3008"/>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&lt;20%</w:t>
            </w:r>
          </w:p>
        </w:tc>
      </w:tr>
    </w:tbl>
    <w:p>
      <w:pPr>
        <w:spacing w:before="400"/>
      </w:pPr>
    </w:p>
    <w:p>
      <w:pPr>
        <w:pBdr>
          <w:top w:val="single" w:color="1E40AF" w:sz="4" w:space="8"/>
        </w:pBdr>
        <w:spacing w:before="200" w:after="100"/>
        <w:jc w:val="center"/>
      </w:pPr>
      <w:r>
        <w:rPr>
          <w:rFonts w:ascii="Arial" w:cs="Arial" w:eastAsia="Arial" w:hAnsi="Arial"/>
          <w:i/>
          <w:iCs/>
          <w:color w:val="64748B"/>
          <w:sz w:val="22"/>
          <w:szCs w:val="22"/>
        </w:rPr>
        <w:t xml:space="preserve">End of Business Plan</w:t>
      </w:r>
    </w:p>
    <w:p>
      <w:pPr>
        <w:jc w:val="center"/>
      </w:pPr>
      <w:r>
        <w:rPr>
          <w:rFonts w:ascii="Arial" w:cs="Arial" w:eastAsia="Arial" w:hAnsi="Arial"/>
          <w:b/>
          <w:bCs/>
          <w:color w:val="1E40AF"/>
          <w:sz w:val="21"/>
          <w:szCs w:val="21"/>
        </w:rPr>
        <w:t xml:space="preserve">KutumbKosh — Because your family’s financial safety shouldn’t depend on memory.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pPr>
    <w:r>
      <w:rPr>
        <w:rFonts w:ascii="Arial" w:cs="Arial" w:eastAsia="Arial" w:hAnsi="Arial"/>
        <w:color w:val="64748B"/>
        <w:sz w:val="18"/>
        <w:szCs w:val="18"/>
      </w:rPr>
      <w:t xml:space="preserve">KutumbKosh Business Plan</w:t>
    </w:r>
    <w:r>
      <w:rPr>
        <w:rFonts w:ascii="Arial" w:cs="Arial" w:eastAsia="Arial" w:hAnsi="Arial"/>
        <w:b/>
        <w:bCs/>
        <w:color w:val="D9770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8"/>
    <w:lvlOverride w:ilvl="0">
      <w:startOverride w:val="1"/>
    </w:lvlOverride>
  </w:num>
  <w:num w:numId="6">
    <w:abstractNumId w:val="9"/>
    <w:lvlOverride w:ilvl="0">
      <w:startOverride w:val="1"/>
    </w:lvlOverride>
  </w:num>
  <w:num w:numId="7">
    <w:abstractNumId w:val="4"/>
    <w:lvlOverride w:ilvl="0">
      <w:startOverride w:val="1"/>
    </w:lvlOverride>
  </w:num>
  <w:num w:numId="8">
    <w:abstractNumId w:val="10"/>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0AF"/>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2026-03-31T04:00:23.291Z</dcterms:created>
  <dcterms:modified xsi:type="dcterms:W3CDTF">2026-03-31T04:00:23.292Z</dcterms:modified>
</cp:coreProperties>
</file>

<file path=docProps/custom.xml><?xml version="1.0" encoding="utf-8"?>
<Properties xmlns="http://schemas.openxmlformats.org/officeDocument/2006/custom-properties" xmlns:vt="http://schemas.openxmlformats.org/officeDocument/2006/docPropsVTypes"/>
</file>