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36"/>
        </w:rPr>
        <w:t>MC-AWARE: Derin Öğrenmede</w:t>
        <w:br/>
        <w:t>Anti-Prediktif Davranışın Tespiti</w:t>
      </w:r>
    </w:p>
    <w:p/>
    <w:p>
      <w:pPr>
        <w:jc w:val="center"/>
      </w:pPr>
      <w:r>
        <w:rPr>
          <w:i/>
          <w:color w:val="444444"/>
          <w:sz w:val="26"/>
        </w:rPr>
        <w:t>Literatür Taraması ve Araştırmanın Kısıtları</w:t>
      </w:r>
    </w:p>
    <w:p/>
    <w:p>
      <w:pPr>
        <w:jc w:val="center"/>
      </w:pPr>
      <w:r>
        <w:rPr>
          <w:color w:val="666666"/>
          <w:sz w:val="20"/>
        </w:rPr>
        <w:t>TÜBİTAK 2209-A Lisans Araştırma Projesi</w:t>
      </w:r>
    </w:p>
    <w:p>
      <w:pPr>
        <w:jc w:val="center"/>
      </w:pPr>
      <w:r>
        <w:rPr>
          <w:color w:val="666666"/>
          <w:sz w:val="20"/>
        </w:rPr>
      </w:r>
    </w:p>
    <w:p>
      <w:pPr>
        <w:jc w:val="center"/>
      </w:pPr>
      <w:r>
        <w:rPr>
          <w:color w:val="666666"/>
          <w:sz w:val="20"/>
        </w:rPr>
        <w:t>Proje Yürütücüsü: Mehmet Ali Kurt</w:t>
      </w:r>
    </w:p>
    <w:p>
      <w:pPr>
        <w:jc w:val="center"/>
      </w:pPr>
      <w:r>
        <w:rPr>
          <w:color w:val="666666"/>
          <w:sz w:val="20"/>
        </w:rPr>
        <w:t>Danışman: Öğr. Gör. Elif Ayaz</w:t>
      </w:r>
    </w:p>
    <w:p>
      <w:pPr>
        <w:jc w:val="center"/>
      </w:pPr>
      <w:r>
        <w:rPr>
          <w:color w:val="666666"/>
          <w:sz w:val="20"/>
        </w:rPr>
        <w:t>Kurum: Hacettepe Üniversitesi</w:t>
      </w:r>
    </w:p>
    <w:p>
      <w:pPr>
        <w:jc w:val="center"/>
      </w:pPr>
      <w:r>
        <w:rPr>
          <w:color w:val="666666"/>
          <w:sz w:val="20"/>
        </w:rPr>
      </w:r>
    </w:p>
    <w:p>
      <w:pPr>
        <w:jc w:val="center"/>
      </w:pPr>
      <w:r>
        <w:rPr>
          <w:color w:val="666666"/>
          <w:sz w:val="20"/>
        </w:rPr>
        <w:t>Haziran 2026</w:t>
      </w:r>
    </w:p>
    <w:p>
      <w:r>
        <w:br w:type="page"/>
      </w:r>
    </w:p>
    <w:p>
      <w:pPr>
        <w:pStyle w:val="Heading1"/>
      </w:pPr>
      <w:r>
        <w:t>2. LİTERATÜR TARAMASI VE PROJENİN TEORİK ÇERÇEVESİ</w:t>
      </w:r>
    </w:p>
    <w:p/>
    <w:p>
      <w:pPr>
        <w:pStyle w:val="Heading2"/>
      </w:pPr>
      <w:r>
        <w:t>2.1. Finansal Zaman Serilerinde Derin Öğrenme</w:t>
      </w:r>
    </w:p>
    <w:p/>
    <w:p>
      <w:pPr>
        <w:ind w:firstLine="425"/>
      </w:pPr>
      <w:r>
        <w:t>Finansal zaman serilerinin tahminlenmesinde derin öğrenme (DL) mimarilerinin, geleneksel makine öğrenmesi algoritmalarına kıyasla sağladığı üstünlük literatürde sıkça vurgulanmaktadır. Fischer ve Krauss (2018) yaptıkları çalışmada, Uzun Kısa Süreli Bellek (LSTM) ağlarının finansal yön tahmininde Random Forest gibi klasik modelleri geride bıraktığını belirtmiştir. Sezer ve diğerleri (2020) kapsamlı bir tarama çalışmasında CNN, LSTM ve hibrit mimarilerin finansal tahmin görevlerinde giderek yaygınlaştığını raporlamıştır. Wen ve diğerleri (2022) ise "Derin öğrenmede geri dönüşler azalıyor mu?" sorusunu tartışarak, mimari karmaşıklığın her zaman daha iyi sonuç vermediğini ortaya koymuştur.</w:t>
      </w:r>
    </w:p>
    <w:p/>
    <w:p>
      <w:pPr>
        <w:ind w:firstLine="425"/>
      </w:pPr>
      <w:r>
        <w:t>Projemizde BIST verisiyle gerçekleştirilen Klasik ML (Negatif Kontrol) testleri, derin öğrenme algoritmalarının gradiyent-tabanlı optimizasyonunun yüksek gürültülü makro-ortamlarda aşırı uyuma (overfitting) daha yatkın olduğunu; buna karşılık Random Forest gibi klasik karar ağaçlarının makro şoklardan daha az etkilendiğini göstermiştir. Bu bulgu, "DL her zaman daha iyidir" argümanını Gelişmekte Olan Piyasalar perspektifinden sınırlandırmaktadır.</w:t>
      </w:r>
    </w:p>
    <w:p/>
    <w:p>
      <w:pPr>
        <w:ind w:firstLine="425"/>
      </w:pPr>
      <w:r>
        <w:t>Projemizde 6 farklı derin öğrenme mimarisi (BiLSTM, GRU, Conv1D, TCN, Transformer, SimpleRNN) sistematik olarak karşılaştırılmıştır. 700'den fazla konfigürasyonun tamamında, mimari türünden bağımsız olarak aynı anti-prediktif örüntünün tekrarlanması, sorunun belirli bir ağ yapısına değil, gradiyent-tabanlı öğrenmenin makro şok ortamlarındaki temel bir zafiyetine işaret etmektedir.</w:t>
      </w:r>
    </w:p>
    <w:p/>
    <w:p>
      <w:pPr>
        <w:pStyle w:val="Heading2"/>
      </w:pPr>
      <w:r>
        <w:t>2.2. Türkiye'de BIST Üzerine Yapılan Derin Öğrenme Çalışmaları</w:t>
      </w:r>
    </w:p>
    <w:p/>
    <w:p>
      <w:pPr>
        <w:ind w:firstLine="425"/>
      </w:pPr>
      <w:r>
        <w:t>Türkiye'de Borsa İstanbul (BIST) verileri kullanılarak yapılan derin öğrenme çalışmaları son yıllarda hız kazanmıştır. DergiPark, TRDizin ve YÖK Ulusal Tez Merkezi platformlarında yayımlanan çalışmalarda, özellikle BIST100 endeksi ve bankacılık sektörü hisseleri (Akbank, Garanti, İş Bankası, Yapı Kredi) üzerine LSTM, GRU, CNN-LSTM ve BiLSTM modelleri test edilmiştir. Bu çalışmaların büyük çoğunluğu, derin öğrenme modellerinin geleneksel ARIMA ve GARCH modellerini RMSE ve MAE metriklerinde geride bıraktığını raporlamıştır.</w:t>
      </w:r>
    </w:p>
    <w:p/>
    <w:p>
      <w:pPr>
        <w:ind w:firstLine="425"/>
      </w:pPr>
      <w:r>
        <w:t>Ankara Üniversitesi'nden yayımlanan bir çalışmada, Çizge Evrişimli Ağlar (GCN) ile LSTM'in hibrit kullanımı, hisseler arası ilişkisel bağımlılıkları modelleme amacıyla denenmiştir. İSARDER dergisinde yayımlanan karşılaştırmalı analizlerde CNN-LSTM ve GRU-LSTM hibrit yapılarının saf LSTM'e göre hafif performans üstünlüğü sağladığı belirtilmiştir.</w:t>
      </w:r>
    </w:p>
    <w:p/>
    <w:p>
      <w:pPr>
        <w:ind w:firstLine="425"/>
      </w:pPr>
      <w:r>
        <w:t>Ancak bu çalışmaların kritik bir eksikliği, projemizin ortaya koyduğu Çoğunluk Sınıfı (MC) tuzağını hiçbirinin kontrol etmemiş olmasıdır. Raporlanan "%80-85 doğruluk" değerlerinin büyük çoğunluğu, modelin sadece çoğunluk sınıfını tahmin etmesinden kaynaklanıyor olabilir. Projemiz, Türk akademik literatüründe MC tuzağını sistematik olarak tespit eden ve belgeleyen ilk çalışma niteliğindedir. Ayrıca mevcut Türk çalışmalarının hiçbiri makroekonomik şokların (kur krizi, COVID-19, enflasyon) model performansı üzerindeki yıkıcı etkisini incelememektedir; bu boşluk projemizin temel motivasyonunu oluşturmaktadır.</w:t>
      </w:r>
    </w:p>
    <w:p/>
    <w:p>
      <w:pPr>
        <w:pStyle w:val="Heading2"/>
      </w:pPr>
      <w:r>
        <w:t>2.3. Anti-Prediktif Davranış: Tanım ve Teorik Çerçeve</w:t>
      </w:r>
    </w:p>
    <w:p/>
    <w:p>
      <w:pPr>
        <w:ind w:firstLine="425"/>
      </w:pPr>
      <w:r>
        <w:t>Anti-prediktif davranış, bir makine öğrenmesi modelinin rastgele tahminden (naive, ~%50) sistematik olarak daha kötü performans sergilemesi, yani tahminlerinin gerçek sonuçlarla negatif korelasyon göstermesi durumudur. Bu fenomen, "rastgele başarısızlık"tan temelden farklıdır: rastgele bir model %50 civarında kalırken, anti-prediktif bir model %40 veya daha düşük doğruluk gösterir. Bu, modelin güçlü bir sinyal yakaladığını ancak bu sinyalin yönünün test döneminde tersine döndüğünü gösterir.</w:t>
      </w:r>
    </w:p>
    <w:p/>
    <w:p>
      <w:pPr>
        <w:ind w:firstLine="425"/>
      </w:pPr>
      <w:r>
        <w:t>Literatürde bu fenomen birkaç farklı perspektiften ele alınmaktadır:</w:t>
      </w:r>
    </w:p>
    <w:p/>
    <w:p>
      <w:pPr>
        <w:pStyle w:val="ListBullet"/>
      </w:pPr>
      <w:r>
        <w:t>Düşük Sinyal-Gürültü Oranı: Finansal piyasalar doğası gereği gürültülüdür. Sinyal-gürültü oranı aşırı düşük olduğunda (örneğin yüksek volatiliteli günlük getiriler), derin öğrenme modelleri anlamlı örüntüler yerine rastgele gürültüye aşırı uyum sağlayabilir (arXiv, 2024). Bu, anti-prediktif davranışa yol açar: modelin tahminleri gerçek piyasa hareketleriyle negatif korelasyon gösterir.</w:t>
      </w:r>
    </w:p>
    <w:p/>
    <w:p>
      <w:pPr>
        <w:pStyle w:val="ListBullet"/>
      </w:pPr>
      <w:r>
        <w:t>Negatif Transfer: Çok görevli öğrenme (multi-task learning) yaklaşımlarında, yardımcı görevler veya çeşitli veri modaliteleri birincil hedefle çeliştiğinde, modelin performansı basit tek görevli modellerin gerisine düşebilir (Standley ve diğerleri, 2020). Projemizde makroekonomik değişkenlerin (USDTRY, Brent, TCMB) belirli dönemlerde "yardımcı bilgi" yerine "yanıltıcı gürültü" haline gelmesi, bu teorik çerçeveyle uyumludur.</w:t>
      </w:r>
    </w:p>
    <w:p/>
    <w:p>
      <w:pPr>
        <w:pStyle w:val="ListBullet"/>
      </w:pPr>
      <w:r>
        <w:t>Rejim Değişikliği ve Korelasyon Kırılması: Piyasalar durağan olmayan (non-stationary) dinamik sistemlerdir. Modelin eğitim döneminde öğrendiği "kur arttığında hisse düşer" korelasyonu, kur şokunun kalıcılaştığı test döneminde geçerliliğini yitirebilir. Bu durumda model sistematik olarak yanlış yöne tahmin yapar. Projemizde bu mekanizma, Walk-Forward v2 analizinde Fold 2 (COVID-19) ve Fold 6-7 (enflasyon) dönemlerinde açıkça gözlemlenmiştir.</w:t>
      </w:r>
    </w:p>
    <w:p/>
    <w:p>
      <w:pPr>
        <w:ind w:firstLine="425"/>
      </w:pPr>
      <w:r>
        <w:t>Projemizin özgün katkısı, anti-prediktif davranışı salt tespit etmekle kalmayıp, hangi koşullarda tetiklendiğini (sektör, pencere uzunluğu, makro değişken, dönem) sistematik olarak haritalamış olmasıdır. Bu "6-Ayaklı Teşhis" yaklaşımı, literatürdeki mevcut çalışmaların ötesine geçmektedir.</w:t>
      </w:r>
    </w:p>
    <w:p/>
    <w:p>
      <w:pPr>
        <w:pStyle w:val="Heading2"/>
      </w:pPr>
      <w:r>
        <w:t>2.4. Çoğunluk Sınıfı (Majority Class) Tuzağı ve Sınıf Dengesizliği</w:t>
      </w:r>
    </w:p>
    <w:p/>
    <w:p>
      <w:pPr>
        <w:ind w:firstLine="425"/>
      </w:pPr>
      <w:r>
        <w:t>Sınıf dengesizliği (class imbalance) problemi, He ve Garcia (2009) tarafından matematiksel temelleriyle incelenmiştir. Modellerin azınlık sınıfını görmezden gelerek çoğunluk sınıfına çökme eğilimi, Krawczyk (2016) tarafından savunulan maliyet duyarlı öğrenme (cost-sensitive learning) ile aşılabilmektedir. Lin ve diğerleri (2017) tarafından geliştirilen Focal Loss fonksiyonu, "zor" örneklere odaklanarak dengesizlik sorununu gradiyent düzeyinde çözmektedir.</w:t>
      </w:r>
    </w:p>
    <w:p/>
    <w:p>
      <w:pPr>
        <w:ind w:firstLine="425"/>
      </w:pPr>
      <w:r>
        <w:t>Finansal yön tahmininde bu tuzak özellikle kritiktir: tipik bir BIST hissesinde "Yükseldi" günlerinin oranı %51-54 civarındadır. Model, hiçbir şey öğrenmeden sadece "Yükseldi" derse %52 doğruluk elde eder ve bu değer yanıltıcı biçimde "başarılı" gösterilir. Mevcut Türk literatüründeki BIST tahmin çalışmalarının büyük çoğunluğu bu kontrol mekanizmasını uygulamamıştır.</w:t>
      </w:r>
    </w:p>
    <w:p/>
    <w:p>
      <w:pPr>
        <w:ind w:firstLine="425"/>
      </w:pPr>
      <w:r>
        <w:t>Projemizde uygulanan sınıf ağırlıklandırma (class_weight=balanced) ve MC-Aware kayıp fonksiyonu yöntemi, modelin Sensitivity ve Specificity dengesini 700'den fazla konfigürasyonun tamamında sağlayarak, finansal veri setlerindeki yüzeysel "Accuracy" illüzyonunu tamamen ortadan kaldırmıştır. 11 farklı BIST hissesinde, 3 farklı lambda değerinde ve 5 farklı rastgele başlangıç değerinde (seed) hiçbir MC çökmesi gözlemlenmemiştir (MC = 0 / 700+).</w:t>
      </w:r>
    </w:p>
    <w:p/>
    <w:p>
      <w:pPr>
        <w:pStyle w:val="Heading2"/>
      </w:pPr>
      <w:r>
        <w:t>2.5. Kısayol Öğrenme (Shortcut Learning) ve Sahte Korelasyonlar</w:t>
      </w:r>
    </w:p>
    <w:p/>
    <w:p>
      <w:pPr>
        <w:ind w:firstLine="425"/>
      </w:pPr>
      <w:r>
        <w:t>Modellerin asıl sinyali öğrenmek yerine verideki sahte kalıpları ezberlemesi (shortcut learning), Geirhos ve diğerleri (2020) tarafından test verisindeki sistematik hataların kaynağı olarak gösterilmiştir. Bu "Clever Hans" davranışı — modelin gerçek öğrenme yerine korelasyona dayalı kısayollar kullanması — 2024-2025 yıllarında birleştirici bir taksonomi çerçevesinde sistematize edilmiştir (arXiv, 2024: "Navigating Shortcuts, Spurious Correlations, and Confounders"). ICLR 2025'te düzenlenen "Workshop on Spurious Correlation and Shortcut Learning" bu konudaki akademik tartışmayı yoğunlaştırmıştır.</w:t>
      </w:r>
    </w:p>
    <w:p/>
    <w:p>
      <w:pPr>
        <w:ind w:firstLine="425"/>
      </w:pPr>
      <w:r>
        <w:t>Arjovsky ve diğerleri (2019) sahte korelasyonların özellikle dağılım dışı (out-of-distribution, OOD) senaryolarda yıkıcı sonuçlar doğurduğunu göstermiştir. Standart Ampirik Risk Minimizasyonu (ERM), istatistiksel ilişkiyi nedensel yapıdan ayırt edemediği için sahte özellikleri öğrenmeye yatkındır.</w:t>
      </w:r>
    </w:p>
    <w:p/>
    <w:p>
      <w:pPr>
        <w:ind w:firstLine="425"/>
      </w:pPr>
      <w:r>
        <w:t>Projemizdeki Özellik Ablasyonu testleri, bu teorik çerçeveyi deneysel olarak doğrulamıştır. USDTRY, Brent Petrol ve TCMB Faiz Oranı değişkenleri veri setinden çıkarıldığında anti-prediktif eğilim tamamen kaybolmuş; modeller nötr (%50 civarı) performansa dönmüştür. Tekli özellik ablasyonu sonuçları daha da aydınlatıcıdır: herhangi bir dış değişken tek başına çıkarıldığında anti-prediktif etki azalmamıştır. Bu, dış değişkenlerin birlikte sinerjik bir sahte korelasyon oluşturduğunu göstermekte ve "tek değişken sürücü" varsayımını geçersiz kılmaktadır. Bu bulgu, Arjovsky'nin teorik uyarısının BIST üzerindeki ampirik karşılığıdır.</w:t>
      </w:r>
    </w:p>
    <w:p/>
    <w:p>
      <w:pPr>
        <w:pStyle w:val="Heading2"/>
      </w:pPr>
      <w:r>
        <w:t>2.6. Kavram Kayması (Concept Drift) ve Piyasa Rejim Değişikliği</w:t>
      </w:r>
    </w:p>
    <w:p/>
    <w:p>
      <w:pPr>
        <w:ind w:firstLine="425"/>
      </w:pPr>
      <w:r>
        <w:t>Makroekonomik değişkenlerdeki eğitim ve test periyotları arasındaki korelasyon kırılmaları Gama ve diğerleri (2014) tarafından kavram kayması (concept drift) olarak tanımlanmıştır. Finansal piyasalarda rejim değişikliği — boğa piyasasından ayı piyasasına, düşük volatiliteden yüksek volatiliteye geçiş — modellerin "sessiz çöküşüne" (silent failure) yol açar; modelin tahmin gücü uyarı vermeksizin çürür.</w:t>
      </w:r>
    </w:p>
    <w:p/>
    <w:p>
      <w:pPr>
        <w:ind w:firstLine="425"/>
      </w:pPr>
      <w:r>
        <w:t>Son dönem araştırmaları (2023-2024) statik "eğit ve unut" modellerinden adaptif, sağlam mimarilere geçişi vurgulamaktadır:</w:t>
      </w:r>
    </w:p>
    <w:p>
      <w:pPr>
        <w:pStyle w:val="ListBullet"/>
      </w:pPr>
      <w:r>
        <w:t>OneNet (NeurIPS, 2023): Dinamik ensemble ile kavram kaymasına gerçek zamanlı adaptasyon</w:t>
      </w:r>
    </w:p>
    <w:p>
      <w:pPr>
        <w:pStyle w:val="ListBullet"/>
      </w:pPr>
      <w:r>
        <w:t>Autoencoder tabanlı drift tespiti: 3σ prensibi ile mevcut piyasa verisinin eğitim dağılımından sapmasının ölçülmesi</w:t>
      </w:r>
    </w:p>
    <w:p>
      <w:pPr>
        <w:pStyle w:val="ListBullet"/>
      </w:pPr>
      <w:r>
        <w:t>Performans-tabanlı erken uyarı: Dönen metriklerle (rolling AUC, F1) model çürümesinin tespiti</w:t>
      </w:r>
    </w:p>
    <w:p/>
    <w:p>
      <w:pPr>
        <w:ind w:firstLine="425"/>
      </w:pPr>
      <w:r>
        <w:t>Projemizde Walk-Forward v2 analizinin 7-fold yapısı, kavram kaymasının dönemsel haritasını çıkarmıştır:</w:t>
      </w:r>
    </w:p>
    <w:p>
      <w:pPr>
        <w:pStyle w:val="ListBullet"/>
      </w:pPr>
      <w:r>
        <w:t>Fold 2 (2020 — COVID-19): 18/18 koşuda anti-prediktif → makro şok tetikleyici</w:t>
      </w:r>
    </w:p>
    <w:p>
      <w:pPr>
        <w:pStyle w:val="ListBullet"/>
      </w:pPr>
      <w:r>
        <w:t>Fold 3 (2020-21 — Toparlanma): 18/18 koşuda anti-prediktif → şokun devam etkisi</w:t>
      </w:r>
    </w:p>
    <w:p>
      <w:pPr>
        <w:pStyle w:val="ListBullet"/>
      </w:pPr>
      <w:r>
        <w:t>Fold 6-7 (2023-25 — Enflasyon): 14-8/18 koşuda tetikleniyor</w:t>
      </w:r>
    </w:p>
    <w:p>
      <w:pPr>
        <w:pStyle w:val="ListBullet"/>
      </w:pPr>
      <w:r>
        <w:t>Fold 1, 4, 5 (Normal dönemler): 0/18 anti-prediktif → model sağlıklı çalışıyor</w:t>
      </w:r>
    </w:p>
    <w:p/>
    <w:p>
      <w:pPr>
        <w:ind w:firstLine="425"/>
      </w:pPr>
      <w:r>
        <w:t>Bu dönemsel harita, kavram kaymasının sürekli değil; kriz dönemlerine özgü, rejim-bağımlı bir fenomen olduğunu ampirik olarak kanıtlamaktadır.</w:t>
      </w:r>
    </w:p>
    <w:p/>
    <w:p>
      <w:pPr>
        <w:pStyle w:val="Heading2"/>
      </w:pPr>
      <w:r>
        <w:t>2.7. Gelişmekte Olan Piyasaların Kırılganlığı ve Sektörel Ayrışma</w:t>
      </w:r>
    </w:p>
    <w:p/>
    <w:p>
      <w:pPr>
        <w:ind w:firstLine="425"/>
      </w:pPr>
      <w:r>
        <w:t>Gelişmekte olan piyasaların mikroyapısı, Bekaert ve Harvey (2002) tarafından makroekonomik şoklara ve kur dalgalanmalarına karşı yapısal olarak daha kırılgan olarak tanımlanmıştır. Dünya Bankası raporları, bu piyasalardaki sınırlı veri derinliği, yüksek volatilite ve yapısal kırılganlıkların makine öğrenmesi modellerinin genelleştirilmesini zorlaştırdığını vurgulamaktadır.</w:t>
      </w:r>
    </w:p>
    <w:p/>
    <w:p>
      <w:pPr>
        <w:ind w:firstLine="425"/>
      </w:pPr>
      <w:r>
        <w:t>Projemizde uygulanan çapraz piyasa testleri bu teoriyi doğrudan desteklemektedir: aynı BiLSTM mimarisi NASDAQ (AAPL) verisinde olağan çalışırken, BIST (THYAO) verisinde sistematik olarak anti-prediktif davranış sergilemiştir.</w:t>
      </w:r>
    </w:p>
    <w:p/>
    <w:p>
      <w:pPr>
        <w:ind w:firstLine="425"/>
      </w:pPr>
      <w:r>
        <w:t>Genişletilmiş 11 hisselik BIST testleri, kırılganlığın sektörel bir örüntü izlediğini ortaya koymuştur:</w:t>
      </w:r>
    </w:p>
    <w:p>
      <w:pPr>
        <w:pStyle w:val="ListBullet"/>
      </w:pPr>
      <w:r>
        <w:t>Havacılık (THYAO, PGSUS): Dış şoklara aşırı duyarlı → %100 anti-prediktif (p &lt; 0.0001)</w:t>
      </w:r>
    </w:p>
    <w:p>
      <w:pPr>
        <w:pStyle w:val="ListBullet"/>
      </w:pPr>
      <w:r>
        <w:t>Spekülatif (SASA, HEKTS): Perakende hücumuna maruz → %100 anti-prediktif (p &lt; 0.0001)</w:t>
      </w:r>
    </w:p>
    <w:p>
      <w:pPr>
        <w:pStyle w:val="ListBullet"/>
      </w:pPr>
      <w:r>
        <w:t>Emtia (KRDMD): Makro duyarlı → %87 anti-prediktif (p = 0.0037)</w:t>
      </w:r>
    </w:p>
    <w:p>
      <w:pPr>
        <w:pStyle w:val="ListBullet"/>
      </w:pPr>
      <w:r>
        <w:t>Bankacılık (YKBNK, ISCTR): Kurumsal yapı → Normal davranış</w:t>
      </w:r>
    </w:p>
    <w:p>
      <w:pPr>
        <w:pStyle w:val="ListBullet"/>
      </w:pPr>
      <w:r>
        <w:t>Otomotiv/Ticaret (FROTO, DOAS): İhracat odaklı → Normal davranış</w:t>
      </w:r>
    </w:p>
    <w:p/>
    <w:p>
      <w:pPr>
        <w:ind w:firstLine="425"/>
      </w:pPr>
      <w:r>
        <w:t>Bu sektörel ayrışma, Bekaert ve Harvey'in "seçici kırılganlık" kavramını makine öğrenmesi bağlamında ilk kez ampirik olarak kanıtlamaktadır.</w:t>
      </w:r>
    </w:p>
    <w:p/>
    <w:p>
      <w:pPr>
        <w:pStyle w:val="Heading2"/>
      </w:pPr>
      <w:r>
        <w:t>2.8. Etkin Piyasa Hipotezi ve Anti-Prediktif Davranışın Konumu</w:t>
      </w:r>
    </w:p>
    <w:p/>
    <w:p>
      <w:pPr>
        <w:ind w:firstLine="425"/>
      </w:pPr>
      <w:r>
        <w:t>Fama'nın (1970) Etkin Piyasa Hipotezi (EMH), fiyatların mevcut bilgiyi tam yansıttığını ve günlük hareketlerin rastgele yürüyüş (random walk) sergilediğini savunur. Türkiye'de EMH'nin BIST üzerindeki geçerliliğini test eden çalışmalar (Özdemir ve diğerleri, 2008; Taner ve Kayacı, 2005) zayıf formda kısmi etkinlik bulmuştur.</w:t>
      </w:r>
    </w:p>
    <w:p/>
    <w:p>
      <w:pPr>
        <w:ind w:firstLine="425"/>
      </w:pPr>
      <w:r>
        <w:t>Projemizde klasik ML algoritmalarının ve basit teknik göstergelerin dahi rastgele tahmini zorlukla aşabilmesi, EMH'nin zayıf formda geçerliliğini desteklemektedir. Ancak derin öğrenme modellerinin şok dönemlerinde rastgele tahminden belirgin şekilde daha kötü performans sergilemesi (~%40 doğruluk), EMH çerçevesinde açıklanamayan yeni bir anomali ortaya koymaktadır. Bu anti-prediktif davranış, EMH'nin kırılmasından ziyade, modellerin sahte korelasyonlara aşırı uyum sağladığını ve ardından bu korelasyonlar kırıldığında sistematik olarak yanlış yöne tahmin yaptığını göstermektedir.</w:t>
      </w:r>
    </w:p>
    <w:p/>
    <w:p>
      <w:pPr>
        <w:pStyle w:val="Heading2"/>
      </w:pPr>
      <w:r>
        <w:t>2.9. Gürültü Tüccarı Riski ve Spekülatif Piyasa Dinamikleri</w:t>
      </w:r>
    </w:p>
    <w:p/>
    <w:p>
      <w:pPr>
        <w:ind w:firstLine="425"/>
      </w:pPr>
      <w:r>
        <w:t>De Long ve diğerleri (1990) tarafından tanımlanan "Gürültü Tüccarı Riski (Noise Trader Risk)", perakende yatırımcıların aşırı spekülatif işlemlerinin fiyatların temel değerlerden sapmasına yol açtığını belirtir. Bu risk, geçici ama şiddetli anomalilere neden olur.</w:t>
      </w:r>
    </w:p>
    <w:p/>
    <w:p>
      <w:pPr>
        <w:ind w:firstLine="425"/>
      </w:pPr>
      <w:r>
        <w:t>BIST'te perakende yatırımcı oranının kurumsal piyasalara kıyasla oldukça yüksek olması, bu riskin etkisini artırmaktadır. Projemizde SASA ve HEKTS hisselerinde — Borsa İstanbul'un tarihsel olarak en yüksek spekülatif perakende hücumuna uğrayan hisseleri — BiLSTM modelinin %100 oranında (15/15 konfigürasyon) anti-prediktif çöküş yaşaması, De Long'un teorisinin makine öğrenmesi üzerindeki yıkıcı etkisini ampirik olarak ispatlamaktadır (bireysel p &lt; 0.0001; Bonferroni-düzeltilmiş p = 0.00012).</w:t>
      </w:r>
    </w:p>
    <w:p/>
    <w:p>
      <w:pPr>
        <w:pStyle w:val="Heading2"/>
      </w:pPr>
      <w:r>
        <w:t>2.10. Pencere Uzunluğu ve Temporal Çözünürlük</w:t>
      </w:r>
    </w:p>
    <w:p/>
    <w:p>
      <w:pPr>
        <w:ind w:firstLine="425"/>
      </w:pPr>
      <w:r>
        <w:t>Zaman serisi modellemesinde pencere uzunluğu seçiminin kritikliği Lütkepohl (2005) tarafından tartışılmıştır. Projemizin IN_LEN ablasyon testleri, bu konuya yeni ve önemli kanıtlar sunmaktadır:</w:t>
      </w:r>
    </w:p>
    <w:p/>
    <w:p>
      <w:pPr>
        <w:ind w:left="567"/>
      </w:pPr>
      <w:r>
        <w:rPr>
          <w:rFonts w:ascii="Consolas" w:hAnsi="Consolas"/>
          <w:sz w:val="16"/>
        </w:rPr>
        <w:t>IN_LEN = 2:  Model Acc = %39.6,  Flip Acc = %60.4,  Anti-Pred = 15/15</w:t>
      </w:r>
    </w:p>
    <w:p>
      <w:pPr>
        <w:ind w:left="567"/>
      </w:pPr>
      <w:r>
        <w:rPr>
          <w:rFonts w:ascii="Consolas" w:hAnsi="Consolas"/>
          <w:sz w:val="16"/>
        </w:rPr>
        <w:t>IN_LEN = 5:  Model Acc = %45.3,  Flip Acc = %54.7,  Anti-Pred = 15/15</w:t>
      </w:r>
    </w:p>
    <w:p>
      <w:pPr>
        <w:ind w:left="567"/>
      </w:pPr>
      <w:r>
        <w:rPr>
          <w:rFonts w:ascii="Consolas" w:hAnsi="Consolas"/>
          <w:sz w:val="16"/>
        </w:rPr>
        <w:t>IN_LEN = 10: Model Acc = %52.9,  Flip Acc = %47.1,  Anti-Pred = 0/15</w:t>
      </w:r>
    </w:p>
    <w:p/>
    <w:p>
      <w:pPr>
        <w:ind w:firstLine="425"/>
      </w:pPr>
      <w:r>
        <w:t>Kısa pencereli (IN_LEN ≤ 5) modellerin günlük mikro-gürültüden daha fazla etkilendiği ve yeterli temporal bağlam sağlandığında (IN_LEN = 10) modelin anti-prediktif davranıştan tamamen kurtulduğu gösterilmiştir. Bu bulgu, pencere uzunluğunun sadece bir hiperparametre değil, anti-prediktif davranışın doğrudan tetikleyicisi olduğunu ortaya koymaktadır.</w:t>
      </w:r>
    </w:p>
    <w:p/>
    <w:p>
      <w:pPr>
        <w:pStyle w:val="Heading2"/>
      </w:pPr>
      <w:r>
        <w:t>2.11. Walk-Forward Doğrulama ve Veri Sızıntısı Riskleri</w:t>
      </w:r>
    </w:p>
    <w:p/>
    <w:p>
      <w:pPr>
        <w:ind w:firstLine="425"/>
      </w:pPr>
      <w:r>
        <w:t>Zaman serisi analizlerinde standart k-fold çapraz doğrulamanın veri sızıntısına yol açtığı bilinmektedir. López de Prado (2018) "Advances in Financial Machine Learning" kitabında Purged K-Fold ve Embargoing yöntemlerini önererek, finansal zaman serilerinde sızıntıyı katı biçimde ortadan kaldırmayı amaçlamıştır.</w:t>
      </w:r>
    </w:p>
    <w:p/>
    <w:p>
      <w:pPr>
        <w:ind w:firstLine="425"/>
      </w:pPr>
      <w:r>
        <w:t>Projemizde uygulanan 7-fold Walk-Forward v2 doğrulama metodu, bu katı kurallara uygun inşa edilmiştir. Düzeltilmiş versiyonda (v2) validasyon verisi (val_data) eklenerek erken durdurma (early stopping) mekanizmasının doğru çalışması sağlanmıştır. v1'deki validasyon eksikliğinin tespiti ve düzeltilmesi, projemizin metodolojik dürüstlüğünün önemli bir göstergesidir.</w:t>
      </w:r>
    </w:p>
    <w:p/>
    <w:p>
      <w:pPr>
        <w:ind w:firstLine="425"/>
      </w:pPr>
      <w:r>
        <w:t>Son dönem replikasyon çalışmaları (2023-2025), raporlanan ML başarılarının bir kısmının look-ahead bias içerdiğini ortaya koymuştur. Bu hatalar düzeltildiğinde, algılanan tahmin üstünlüğü genellikle kaybolmakta, bazen rastgele tahminden daha kötü performansa dönüşmektedir. Bu bulgular, projemizin anti-prediktif tespitlerinin metodolojik titizlikle yapılmasının önemini vurgulamaktadır.</w:t>
      </w:r>
    </w:p>
    <w:p/>
    <w:p>
      <w:pPr>
        <w:pStyle w:val="Heading2"/>
      </w:pPr>
      <w:r>
        <w:t>2.12. Seçici Tahmin (Selective Prediction) ve Model Güvenilirliği</w:t>
      </w:r>
    </w:p>
    <w:p/>
    <w:p>
      <w:pPr>
        <w:ind w:firstLine="425"/>
      </w:pPr>
      <w:r>
        <w:t>Geifman ve El-Yaniv (2017) tarafından geliştirilen seçici tahmin teorisi, modellerin belirsizliğin yüksek olduğu durumlarda tahmin yapmaktan kaçınabilmesini (abstain) önerir. Kapsam-Doğruluk (Coverage-Accuracy tradeoff) optimizasyonu, özellikle yüksek riskli finansal kararlar için kritik öneme sahiptir.</w:t>
      </w:r>
    </w:p>
    <w:p/>
    <w:p>
      <w:pPr>
        <w:ind w:firstLine="425"/>
      </w:pPr>
      <w:r>
        <w:t>Projemizin gelecek çalışmalarında yer alan "Selective Abstain" entegrasyonu, bu savunma mekanizmasını makroekonomik kırılmalar altında çalışan finansal ağlara uyarlamayı hedeflemektedir. Model, tahmininin güven düzeyi belirli bir eşiğin altına düştüğünde otomatik olarak işlem yapmayı durduracaktır (Safe Harbor).</w:t>
      </w:r>
    </w:p>
    <w:p/>
    <w:p>
      <w:pPr>
        <w:pStyle w:val="Heading2"/>
      </w:pPr>
      <w:r>
        <w:t>2.13. Açıklanabilirlik (XAI) ve "Kara Kutu" Eleştirisi</w:t>
      </w:r>
    </w:p>
    <w:p/>
    <w:p>
      <w:pPr>
        <w:ind w:firstLine="425"/>
      </w:pPr>
      <w:r>
        <w:t>Yapay zeka modellerinin açıklanabilirliği (Explainable AI — XAI), 2023-2025 döneminde artan bir akademik ilgi görmüştür. Özellikle finansal uygulamalarda, modellerin sadece doğru değil aynı zamanda yorumlanabilir olması talep edilmektedir. "Kara kutu" eleştirisi, yatırımcıların ve düzenleyicilerin modelin neden belirli bir tahmin yaptığını anlayamamasından kaynaklanmaktadır.</w:t>
      </w:r>
    </w:p>
    <w:p/>
    <w:p>
      <w:pPr>
        <w:ind w:firstLine="425"/>
      </w:pPr>
      <w:r>
        <w:t>Projemiz bu bağlamda güçlü bir konuma sahiptir: "neden başarısız?" sorusunu yanıtlayarak, anti-prediktif davranışın mekanizmasını (hangi sektör, hangi dönem, hangi değişken, hangi pencere uzunluğu) şeffaf biçimde ortaya koymaktadır. Bu "teşhis odaklı" yaklaşım, geleneksel "doğruluk odaklı" yaklaşımın ötesine geçmektedir.</w:t>
      </w:r>
    </w:p>
    <w:p/>
    <w:p>
      <w:pPr>
        <w:pStyle w:val="Heading2"/>
      </w:pPr>
      <w:r>
        <w:t>2.14. Sahte Öngörülebilirlik ve Falsifikasyon Testleri</w:t>
      </w:r>
    </w:p>
    <w:p/>
    <w:p>
      <w:pPr>
        <w:ind w:firstLine="425"/>
      </w:pPr>
      <w:r>
        <w:t>2026 yılında yayımlanan "Spurious Predictability in Financial Machine Learning" çalışması, tahmin iş akışlarını sentetik referans noktalarına karşı değerlendiren falsifikasyon testleri sunmaktadır. Bu yaklaşım, gerçek piyasa yapısını "metodolojik artefakt"lardan ayırmayı hedefler.</w:t>
      </w:r>
    </w:p>
    <w:p/>
    <w:p>
      <w:pPr>
        <w:ind w:firstLine="425"/>
      </w:pPr>
      <w:r>
        <w:t>Projemiz, falsifikasyon prensibini doğrudan uygulamıştır: "Anti-prediktif davranış gerçek mi, yoksa sadece THYAO'ya özgü mü?" sorusunu yanıtlamak için 11 farklı BIST hissesinde 165 konfigürasyonluk kapsamlı bir stres testi gerçekleştirilmiştir. Sonuçlar, anomalinin belirli bir hisseye değil, belirli sektörel ve makroekonomik koşullara bağlı olduğunu kesin olarak kanıtlamıştır.</w:t>
      </w:r>
    </w:p>
    <w:p/>
    <w:p>
      <w:pPr>
        <w:pStyle w:val="Heading2"/>
      </w:pPr>
      <w:r>
        <w:t>2.15. Özgün Katkılar</w:t>
      </w:r>
    </w:p>
    <w:p/>
    <w:p>
      <w:pPr>
        <w:ind w:firstLine="425"/>
      </w:pPr>
      <w:r>
        <w:t>Projemiz, yukarıda özetlenen geniş literatür taramasını tek bir çerçevede birleştirerek şu özgün katkıları sunmaktadır:</w:t>
      </w:r>
    </w:p>
    <w:p>
      <w:pPr>
        <w:pStyle w:val="ListBullet"/>
      </w:pPr>
      <w:r>
        <w:t>Anti-prediktif davranışın sistematik olarak belgelenmesi (700+ konfigürasyon, 6 mimari, 27 varlık, 130 CSV)</w:t>
      </w:r>
    </w:p>
    <w:p>
      <w:pPr>
        <w:pStyle w:val="ListBullet"/>
      </w:pPr>
      <w:r>
        <w:t>Sektörel ayrışmanın kanıtlanması (havacılık/spekülatif vs bankacılık/kurumsal, p &lt; 0.0001)</w:t>
      </w:r>
    </w:p>
    <w:p>
      <w:pPr>
        <w:pStyle w:val="ListBullet"/>
      </w:pPr>
      <w:r>
        <w:t>Pencere uzunluğu etkisinin keşfedilmesi (IN_LEN ≤ 5 tetikler, IN_LEN = 10 ortadan kaldırır)</w:t>
      </w:r>
    </w:p>
    <w:p>
      <w:pPr>
        <w:pStyle w:val="ListBullet"/>
      </w:pPr>
      <w:r>
        <w:t>Makro değişken mekanizmasının izole edilmesi (USDTRY + Oil + TCMB çıkarılınca anomali yok)</w:t>
      </w:r>
    </w:p>
    <w:p>
      <w:pPr>
        <w:pStyle w:val="ListBullet"/>
      </w:pPr>
      <w:r>
        <w:t>Dönemsel tetikleyicilerin haritalanması (COVID-19, kur şoku, enflasyon)</w:t>
      </w:r>
    </w:p>
    <w:p>
      <w:pPr>
        <w:pStyle w:val="ListBullet"/>
      </w:pPr>
      <w:r>
        <w:t>Çapraz piyasa karşılaştırması (BIST anti-prediktif, NASDAQ normal)</w:t>
      </w:r>
    </w:p>
    <w:p>
      <w:pPr>
        <w:pStyle w:val="ListBullet"/>
      </w:pPr>
      <w:r>
        <w:t>MC tuzağının Türk literatüründe ilk kez belgelenmesi (700+ koşuda MC = 0)</w:t>
      </w:r>
    </w:p>
    <w:p>
      <w:pPr>
        <w:pStyle w:val="ListBullet"/>
      </w:pPr>
      <w:r>
        <w:t>Falsifikasyon testleriyle bulguların sağlamlığının ispatlanması (11 hisselik stres testi)</w:t>
      </w:r>
    </w:p>
    <w:p>
      <w:r>
        <w:br w:type="page"/>
      </w:r>
    </w:p>
    <w:p>
      <w:pPr>
        <w:pStyle w:val="Heading1"/>
      </w:pPr>
      <w:r>
        <w:t>ARAŞTIRMANIN KISITLARI VE GELECEK ÇALIŞMALAR (LIMITATIONS &amp; FUTURE WORK)</w:t>
      </w:r>
    </w:p>
    <w:p/>
    <w:p>
      <w:pPr>
        <w:ind w:firstLine="425"/>
      </w:pPr>
      <w:r>
        <w:t>Her bilimsel araştırma belirli metodolojik ve pratik sınırlar içerisinde yürütülür. Projemizin TÜBİTAK 2209-A kapsamında ortaya koyduğu "Derin Öğrenmede Anti-Prediktif Eğilimin Çok Boyutlu Teşhisi" bulgularının akademik şeffaflığa oturması adına, mevcut kısıtlar ve gelecek çalışmalarda hedeflenen iş paketleri aşağıda detaylandırılmıştır:</w:t>
      </w:r>
    </w:p>
    <w:p/>
    <w:p/>
    <w:p>
      <w:pPr>
        <w:pStyle w:val="Heading2"/>
      </w:pPr>
      <w:r>
        <w:t>1. Spekülatif Rejimlerin Dinamik Tespit Edilemezliği</w:t>
      </w:r>
    </w:p>
    <w:p/>
    <w:p>
      <w:pPr>
        <w:ind w:firstLine="425"/>
      </w:pPr>
      <w:r>
        <w:t>Projenin nihai testlerinde (11 hisselik genişletilmiş havuz), makroekonomik şokların ve küçük yatırımcı spekülasyonunun derin öğrenme modellerinde sistematik anti-prediktif eğilime yol açtığı kesin olarak kanıtlanmıştır:</w:t>
      </w:r>
    </w:p>
    <w:p/>
    <w:p>
      <w:pPr>
        <w:ind w:left="567"/>
      </w:pPr>
      <w:r>
        <w:rPr>
          <w:rFonts w:ascii="Consolas" w:hAnsi="Consolas"/>
          <w:sz w:val="16"/>
        </w:rPr>
        <w:t>Hisse   Sektör              Anti-Prediktif   p-değeri</w:t>
      </w:r>
    </w:p>
    <w:p>
      <w:pPr>
        <w:ind w:left="567"/>
      </w:pPr>
      <w:r>
        <w:rPr>
          <w:rFonts w:ascii="Consolas" w:hAnsi="Consolas"/>
          <w:sz w:val="16"/>
        </w:rPr>
        <w:t>THYAO   Havacılık            15/15 (%100)     &lt; 0.0001</w:t>
      </w:r>
    </w:p>
    <w:p>
      <w:pPr>
        <w:ind w:left="567"/>
      </w:pPr>
      <w:r>
        <w:rPr>
          <w:rFonts w:ascii="Consolas" w:hAnsi="Consolas"/>
          <w:sz w:val="16"/>
        </w:rPr>
        <w:t>PGSUS   Havacılık            15/15 (%100)     &lt; 0.0001</w:t>
      </w:r>
    </w:p>
    <w:p>
      <w:pPr>
        <w:ind w:left="567"/>
      </w:pPr>
      <w:r>
        <w:rPr>
          <w:rFonts w:ascii="Consolas" w:hAnsi="Consolas"/>
          <w:sz w:val="16"/>
        </w:rPr>
        <w:t>HEKTS   Spekülatif           15/15 (%100)     &lt; 0.0001</w:t>
      </w:r>
    </w:p>
    <w:p>
      <w:pPr>
        <w:ind w:left="567"/>
      </w:pPr>
      <w:r>
        <w:rPr>
          <w:rFonts w:ascii="Consolas" w:hAnsi="Consolas"/>
          <w:sz w:val="16"/>
        </w:rPr>
        <w:t>SASA    Spekülatif           15/15 (%100)     &lt; 0.0001</w:t>
      </w:r>
    </w:p>
    <w:p>
      <w:pPr>
        <w:ind w:left="567"/>
      </w:pPr>
      <w:r>
        <w:rPr>
          <w:rFonts w:ascii="Consolas" w:hAnsi="Consolas"/>
          <w:sz w:val="16"/>
        </w:rPr>
        <w:t>KRDMD   Emtia/Demir-Çelik   13/15 (%87)      = 0.0037</w:t>
      </w:r>
    </w:p>
    <w:p>
      <w:pPr>
        <w:ind w:left="567"/>
      </w:pPr>
      <w:r>
        <w:rPr>
          <w:rFonts w:ascii="Consolas" w:hAnsi="Consolas"/>
          <w:sz w:val="16"/>
        </w:rPr>
        <w:t>FROTO   Otomotiv             Normal           —</w:t>
      </w:r>
    </w:p>
    <w:p>
      <w:pPr>
        <w:ind w:left="567"/>
      </w:pPr>
      <w:r>
        <w:rPr>
          <w:rFonts w:ascii="Consolas" w:hAnsi="Consolas"/>
          <w:sz w:val="16"/>
        </w:rPr>
        <w:t>YKBNK   Bankacılık           Normal           —</w:t>
      </w:r>
    </w:p>
    <w:p>
      <w:pPr>
        <w:ind w:left="567"/>
      </w:pPr>
      <w:r>
        <w:rPr>
          <w:rFonts w:ascii="Consolas" w:hAnsi="Consolas"/>
          <w:sz w:val="16"/>
        </w:rPr>
        <w:t>DOAS    Ticaret              Normal           —</w:t>
      </w:r>
    </w:p>
    <w:p>
      <w:pPr>
        <w:ind w:left="567"/>
      </w:pPr>
      <w:r>
        <w:rPr>
          <w:rFonts w:ascii="Consolas" w:hAnsi="Consolas"/>
          <w:sz w:val="16"/>
        </w:rPr>
        <w:t>ISCTR   Bankacılık           Normal           —</w:t>
      </w:r>
    </w:p>
    <w:p>
      <w:pPr>
        <w:ind w:left="567"/>
      </w:pPr>
      <w:r>
        <w:rPr>
          <w:rFonts w:ascii="Consolas" w:hAnsi="Consolas"/>
          <w:sz w:val="16"/>
        </w:rPr>
        <w:t>TAVHL   Havalimanı           Nötr             —</w:t>
      </w:r>
    </w:p>
    <w:p>
      <w:pPr>
        <w:ind w:left="567"/>
      </w:pPr>
      <w:r>
        <w:rPr>
          <w:rFonts w:ascii="Consolas" w:hAnsi="Consolas"/>
          <w:sz w:val="16"/>
        </w:rPr>
        <w:t>KOZAL   Madencilik           Nötr             —</w:t>
      </w:r>
    </w:p>
    <w:p/>
    <w:p>
      <w:pPr>
        <w:ind w:left="567"/>
      </w:pPr>
      <w:r>
        <w:rPr>
          <w:rFonts w:ascii="Consolas" w:hAnsi="Consolas"/>
          <w:sz w:val="16"/>
        </w:rPr>
        <w:t>Bonferroni-düzeltilmiş 4 hisse: p = 0.00012</w:t>
      </w:r>
    </w:p>
    <w:p/>
    <w:p>
      <w:pPr>
        <w:ind w:firstLine="425"/>
      </w:pPr>
      <w:r>
        <w:t>Walk-Forward v2'de anti-prediktif davranışın dönemsel haritası:</w:t>
      </w:r>
    </w:p>
    <w:p>
      <w:pPr>
        <w:ind w:left="567"/>
      </w:pPr>
      <w:r>
        <w:rPr>
          <w:rFonts w:ascii="Consolas" w:hAnsi="Consolas"/>
          <w:sz w:val="16"/>
        </w:rPr>
        <w:t>Fold 1 (2019):        0/18 anti-prediktif  → Normal dönem</w:t>
      </w:r>
    </w:p>
    <w:p>
      <w:pPr>
        <w:ind w:left="567"/>
      </w:pPr>
      <w:r>
        <w:rPr>
          <w:rFonts w:ascii="Consolas" w:hAnsi="Consolas"/>
          <w:sz w:val="16"/>
        </w:rPr>
        <w:t>Fold 2 (2020 COVID):  18/18 anti-prediktif → Makro şok tetikleyici</w:t>
      </w:r>
    </w:p>
    <w:p>
      <w:pPr>
        <w:ind w:left="567"/>
      </w:pPr>
      <w:r>
        <w:rPr>
          <w:rFonts w:ascii="Consolas" w:hAnsi="Consolas"/>
          <w:sz w:val="16"/>
        </w:rPr>
        <w:t>Fold 3 (2020-21):     18/18 anti-prediktif → Şokun devam etkisi</w:t>
      </w:r>
    </w:p>
    <w:p>
      <w:pPr>
        <w:ind w:left="567"/>
      </w:pPr>
      <w:r>
        <w:rPr>
          <w:rFonts w:ascii="Consolas" w:hAnsi="Consolas"/>
          <w:sz w:val="16"/>
        </w:rPr>
        <w:t>Fold 4 (2021-22):     0/18 anti-prediktif  → Toparlanma</w:t>
      </w:r>
    </w:p>
    <w:p>
      <w:pPr>
        <w:ind w:left="567"/>
      </w:pPr>
      <w:r>
        <w:rPr>
          <w:rFonts w:ascii="Consolas" w:hAnsi="Consolas"/>
          <w:sz w:val="16"/>
        </w:rPr>
        <w:t>Fold 5 (2022-23):     0/18 anti-prediktif  → Normal dönem</w:t>
      </w:r>
    </w:p>
    <w:p>
      <w:pPr>
        <w:ind w:left="567"/>
      </w:pPr>
      <w:r>
        <w:rPr>
          <w:rFonts w:ascii="Consolas" w:hAnsi="Consolas"/>
          <w:sz w:val="16"/>
        </w:rPr>
        <w:t>Fold 6 (2023-24):     14/18 anti-prediktif → Kur şoku/enflasyon</w:t>
      </w:r>
    </w:p>
    <w:p>
      <w:pPr>
        <w:ind w:left="567"/>
      </w:pPr>
      <w:r>
        <w:rPr>
          <w:rFonts w:ascii="Consolas" w:hAnsi="Consolas"/>
          <w:sz w:val="16"/>
        </w:rPr>
        <w:t>Fold 7 (2024-25):     8/18 anti-prediktif  → Kısmi etki</w:t>
      </w:r>
    </w:p>
    <w:p/>
    <w:p>
      <w:pPr>
        <w:ind w:firstLine="425"/>
      </w:pPr>
      <w:r>
        <w:t>Mevcut Kısıt: Model, hangi dönemin rasyonel piyasa, hangi dönemin spekülatif "gürültü" dönemi olduğunu otomatik (dinamik) olarak tespit edememektedir. Yukarıdaki dönemsel harita geriye dönük olarak saptanmıştır; gerçek zamanlı algılama mekanizması bulunmamaktadır.</w:t>
      </w:r>
    </w:p>
    <w:p/>
    <w:p>
      <w:pPr>
        <w:ind w:left="567"/>
      </w:pPr>
      <w:r>
        <w:rPr>
          <w:rFonts w:ascii="Consolas" w:hAnsi="Consolas"/>
          <w:sz w:val="16"/>
        </w:rPr>
        <w:t>Gelecek Çalışmalar (İş Paketi 1): Hamilton (1989) Markov Regime-Switching modelleri temelinde, modelin spekülatif çöküş yaşadığı dönemleri otomatik olarak algılayıp uyku moduna alacak bir makro-duyarlı rejim değişim algoritması tasarlanacaktır.</w:t>
      </w:r>
    </w:p>
    <w:p/>
    <w:p/>
    <w:p>
      <w:pPr>
        <w:pStyle w:val="Heading2"/>
      </w:pPr>
      <w:r>
        <w:t>2. Anti-Prediktif Davranışın Mekanizmasının Tam Aydınlatılamaması</w:t>
      </w:r>
    </w:p>
    <w:p/>
    <w:p>
      <w:pPr>
        <w:ind w:firstLine="425"/>
      </w:pPr>
      <w:r>
        <w:t>Anti-prediktif davranışın varlığı ve koşulları kapsamlı biçimde belgelenmiş olmasına rağmen, modelin nöronlarının "neden" ters yöne tahmin yaptığı tam olarak aydınlatılamamıştır. Özellik Ablasyonu testleri makro değişkenlerin (USDTRY + Oil + TCMB) sorumlu olduğunu, IN_LEN ablasyonu pencere uzunluğunun tetikleyici olduğunu göstermiştir. Ancak modelin iç temsil uzayında (latent space) korelasyon kırılmasının tam olarak nasıl kodlandığı ve gradiyentlerin hangi noktada "ters" yöne döndüğü henüz incelenmemiştir.</w:t>
      </w:r>
    </w:p>
    <w:p/>
    <w:p>
      <w:pPr>
        <w:ind w:left="567"/>
      </w:pPr>
      <w:r>
        <w:rPr>
          <w:rFonts w:ascii="Consolas" w:hAnsi="Consolas"/>
          <w:sz w:val="16"/>
        </w:rPr>
        <w:t>Gelecek Çalışmalar (İş Paketi 2): Katman aktivasyonu analizi (layer activation analysis), Gradient-weighted Class Activation Mapping (Grad-CAM) ve SHAP değerleri kullanılarak, anti-prediktif davranışın model iç yapısındaki mekanizması deşifre edilecektir.</w:t>
      </w:r>
    </w:p>
    <w:p/>
    <w:p/>
    <w:p>
      <w:pPr>
        <w:pStyle w:val="Heading2"/>
      </w:pPr>
      <w:r>
        <w:t>3. Statik Eşik Değerleri ve Coverage–Accuracy İkilemi</w:t>
      </w:r>
    </w:p>
    <w:p/>
    <w:p>
      <w:pPr>
        <w:ind w:firstLine="425"/>
      </w:pPr>
      <w:r>
        <w:t>Mevcut mimarilerde model, piyasa ne kadar gürültülü veya istikrarsız olursa olsun statik karar sınırlarıyla (threshold = 0.50) "Yön" üretmeye zorlanmaktadır. Projede gerçekleştirilen Threshold Grid analizinde 0.30-0.70 aralığında eşik optimizasyonu yapılmış, ancak optimal eşik değerinin dönemden döneme değiştiği ve statik eşiklerin kriz dönemlerinde başarısız kaldığı gözlemlenmiştir.</w:t>
      </w:r>
    </w:p>
    <w:p/>
    <w:p>
      <w:pPr>
        <w:ind w:left="567"/>
      </w:pPr>
      <w:r>
        <w:rPr>
          <w:rFonts w:ascii="Consolas" w:hAnsi="Consolas"/>
          <w:sz w:val="16"/>
        </w:rPr>
        <w:t>Gelecek Çalışmalar (İş Paketi 3): "Selective Abstain" (Seçici Kaçınma) mekanizması (Geifman &amp; El-Yaniv, 2017) entegre edilecektir. Model, tahmininin güven düzeyi belirli bir eşiğin altına düştüğünde tahmin yapmaktan kaçınacak, ancak Coverage → %0 riski özel kayıp fonksiyonlarıyla kontrol altına alınacaktır.</w:t>
      </w:r>
    </w:p>
    <w:p/>
    <w:p/>
    <w:p>
      <w:pPr>
        <w:pStyle w:val="Heading2"/>
      </w:pPr>
      <w:r>
        <w:t>4. Bilgi-Teorik Metriklerin Yanlılığı (MI Bias)</w:t>
      </w:r>
    </w:p>
    <w:p/>
    <w:p>
      <w:pPr>
        <w:ind w:firstLine="425"/>
      </w:pPr>
      <w:r>
        <w:t>Projenin analiz aşamalarında, özellikler ile hedef değişken arasındaki sinyali ölçmek için kullanılan standart Karşılıklı Bilgi (MI) skorlarının, bootstrap permütasyon testleri sonucunda "histogram yanlılığı" içerdiği saptanmıştır. Ayrıca, Klasik ML negatif kontrolünde (Random Forest, Decision Tree, Logistic Regression) bu algoritmaların makro şoklardan nispeten daha az etkilendiği ancak naive seviyeyi tutarlı olarak aşamadığı gösterilmiştir.</w:t>
      </w:r>
    </w:p>
    <w:p/>
    <w:p>
      <w:pPr>
        <w:ind w:left="567"/>
      </w:pPr>
      <w:r>
        <w:rPr>
          <w:rFonts w:ascii="Consolas" w:hAnsi="Consolas"/>
          <w:sz w:val="16"/>
        </w:rPr>
        <w:t>Gelecek Çalışmalar (İş Paketi 4): Histogram tabanlı MI yerine kNN-based MI tahminleyicileri (Kraskov ve diğerleri, 2004) kullanılacaktır. Klasik ML hiperparametre optimizasyonu genişletilecektir.</w:t>
      </w:r>
    </w:p>
    <w:p/>
    <w:p/>
    <w:p>
      <w:pPr>
        <w:pStyle w:val="Heading2"/>
      </w:pPr>
      <w:r>
        <w:t>5. Zaman Frekansı ve Giriş Penceresi (IN_LEN) Kısıtı — KISMEN ÇÖZÜLDÜ</w:t>
      </w:r>
    </w:p>
    <w:p/>
    <w:p>
      <w:pPr>
        <w:ind w:firstLine="425"/>
      </w:pPr>
      <w:r>
        <w:t>Bu kısıt, IN_LEN Ablation v2 deneyleriyle kısmen çözülmüştür:</w:t>
      </w:r>
    </w:p>
    <w:p/>
    <w:p>
      <w:pPr>
        <w:ind w:left="567"/>
      </w:pPr>
      <w:r>
        <w:rPr>
          <w:rFonts w:ascii="Consolas" w:hAnsi="Consolas"/>
          <w:sz w:val="16"/>
        </w:rPr>
        <w:t>IN_LEN = 2:   Model Acc = %39.6,  Flip Acc = %60.4,  Anti-Pred = 15/15</w:t>
      </w:r>
    </w:p>
    <w:p>
      <w:pPr>
        <w:ind w:left="567"/>
      </w:pPr>
      <w:r>
        <w:rPr>
          <w:rFonts w:ascii="Consolas" w:hAnsi="Consolas"/>
          <w:sz w:val="16"/>
        </w:rPr>
        <w:t>IN_LEN = 5:   Model Acc = %45.3,  Flip Acc = %54.7,  Anti-Pred = 15/15</w:t>
      </w:r>
    </w:p>
    <w:p>
      <w:pPr>
        <w:ind w:left="567"/>
      </w:pPr>
      <w:r>
        <w:rPr>
          <w:rFonts w:ascii="Consolas" w:hAnsi="Consolas"/>
          <w:sz w:val="16"/>
        </w:rPr>
        <w:t>IN_LEN = 10:  Model Acc = %52.9,  Flip Acc = %47.1,  Anti-Pred = 0/15</w:t>
      </w:r>
    </w:p>
    <w:p/>
    <w:p>
      <w:pPr>
        <w:ind w:firstLine="425"/>
      </w:pPr>
      <w:r>
        <w:t>IN_LEN = 10'da anti-prediktif davranış tamamen ortadan kalkmıştır. Ancak günlük frekanstaki piyasa mikro-gürültüsü hâlâ temel bir kısıt olarak varlığını sürdürmektedir. IN_LEN = 10'da "normal" davranan modelin gerçekten daha sağlam bir sinyal mi yakaladığı, yoksa sadece "gürültüyü öğrenemeyecek kadar kısa hafıza alanına" mı sahip olduğu henüz netleşmemiştir.</w:t>
      </w:r>
    </w:p>
    <w:p/>
    <w:p>
      <w:pPr>
        <w:ind w:left="567"/>
      </w:pPr>
      <w:r>
        <w:rPr>
          <w:rFonts w:ascii="Consolas" w:hAnsi="Consolas"/>
          <w:sz w:val="16"/>
        </w:rPr>
        <w:t>Gelecek Çalışmalar (İş Paketi 5): Haftalık periyotlar, sinyal işleme filtreleri (Butterworth alçak-geçiren) ve adaptif pencere stratejileri araştırılacaktır. IN_LEN = 10'daki mekanizmayı anlamak için katman aktivasyonu analizi yapılacaktır.</w:t>
      </w:r>
    </w:p>
    <w:p/>
    <w:p/>
    <w:p>
      <w:pPr>
        <w:pStyle w:val="Heading1"/>
      </w:pPr>
      <w:r>
        <w:t>6. Donanım ve Ölçeklenebilirlik Kısıtları</w:t>
      </w:r>
    </w:p>
    <w:p/>
    <w:p>
      <w:pPr>
        <w:ind w:firstLine="425"/>
      </w:pPr>
      <w:r>
        <w:t>700'den fazla konfigürasyon kişisel bilgisayarda (GPU yok) koşturulmuştur. Bu hacim lisans düzeyinde büyük olmasına rağmen, Transformer tabanlı büyük modeller ve Time-Series Foundation Models (TimesFM, Chronos) tam kapasiteyle optimize edilememiştir. 11 hisselik testlerde 15 konfigürasyon/hisse (3λ × 5 seed) koşulmuştur; daha geniş λ aralığı ve daha fazla seed ile istatistiksel güvenilirlik artırılabilirdi.</w:t>
      </w:r>
    </w:p>
    <w:p/>
    <w:p>
      <w:pPr>
        <w:ind w:left="567"/>
      </w:pPr>
      <w:r>
        <w:rPr>
          <w:rFonts w:ascii="Consolas" w:hAnsi="Consolas"/>
          <w:sz w:val="16"/>
        </w:rPr>
        <w:t>Gelecek Çalışmalar (İş Paketi 6): Bulut bilişim (Google Colab Pro, AWS) kullanılarak geniş hiperparametre taraması yapılacaktır.</w:t>
      </w:r>
    </w:p>
    <w:p/>
    <w:p/>
    <w:p>
      <w:pPr>
        <w:pStyle w:val="Heading2"/>
      </w:pPr>
      <w:r>
        <w:t>7. Transfer Öğrenme ve Alan Adaptasyonu Eksikliği</w:t>
      </w:r>
    </w:p>
    <w:p/>
    <w:p>
      <w:pPr>
        <w:ind w:firstLine="425"/>
      </w:pPr>
      <w:r>
        <w:t>Tüm modeller yalnızca BIST verisi üzerinde sıfırdan eğitilmiştir. NASDAQ/S&amp;P 500'de eğitilmiş modellerin BIST'e transfer edilebilirliği test edilmemiştir. Anti-prediktif eğilimin evrensel mi yoksa piyasaya özgü mü olduğu sorusu yanıtsız kalmaktadır.</w:t>
      </w:r>
    </w:p>
    <w:p/>
    <w:p>
      <w:pPr>
        <w:ind w:left="567"/>
      </w:pPr>
      <w:r>
        <w:rPr>
          <w:rFonts w:ascii="Consolas" w:hAnsi="Consolas"/>
          <w:sz w:val="16"/>
        </w:rPr>
        <w:t>Gelecek Çalışmalar (İş Paketi 7): Pre-training (NASDAQ) + fine-tuning (BIST) karşılaştırması yapılacaktır.</w:t>
      </w:r>
    </w:p>
    <w:p/>
    <w:p/>
    <w:p>
      <w:pPr>
        <w:pStyle w:val="Heading2"/>
      </w:pPr>
      <w:r>
        <w:t>8. Çoklu Karşılaştırma (Multiple Testing) Riski</w:t>
      </w:r>
    </w:p>
    <w:p/>
    <w:p>
      <w:pPr>
        <w:ind w:firstLine="425"/>
      </w:pPr>
      <w:r>
        <w:t>700'den fazla model koşturulması, istatistiksel olarak "p-hacking" (çoklu karşılaştırma problemi) riskini beraberinde getirmektedir. Projemizde Bonferroni düzeltmesi uygulanmıştır (düzeltilmiş p = 0.00012), ancak daha esnek olan Benjamini-Hochberg FDR (False Discovery Rate) yöntemi denenmemiştir. 700+ koşunun tamamında anti-prediktif davranışın gözlemlenmesi bu riski azaltmakla birlikte, akademik titizlik gereği daha kapsamlı çoklu test düzeltmeleri uygulanmalıdır.</w:t>
      </w:r>
    </w:p>
    <w:p/>
    <w:p>
      <w:pPr>
        <w:ind w:left="567"/>
      </w:pPr>
      <w:r>
        <w:rPr>
          <w:rFonts w:ascii="Consolas" w:hAnsi="Consolas"/>
          <w:sz w:val="16"/>
        </w:rPr>
        <w:t>Gelecek Çalışmalar (İş Paketi 8): Benjamini-Hochberg FDR düzeltmesi, permütasyon testleri ve bootstrap güven aralıkları uygulanarak istatistiksel sonuçlar güçlendirilecektir.</w:t>
      </w:r>
    </w:p>
    <w:p/>
    <w:p/>
    <w:p>
      <w:pPr>
        <w:pStyle w:val="Heading1"/>
      </w:pPr>
      <w:r>
        <w:t>9. Validasyon Metodolojisi Kısıtları</w:t>
      </w:r>
    </w:p>
    <w:p/>
    <w:p>
      <w:pPr>
        <w:ind w:firstLine="425"/>
      </w:pPr>
      <w:r>
        <w:t>Walk-Forward v1'de validasyon verisi (val_data) eksikti; bu, erken durdurma mekanizmasının eğitim verisine göre çalışmasına ve potansiyel aşırı uyuma yol açmaktaydı. v2'de düzeltilmiş olmasına rağmen, validasyon doğruluğu ile test doğruluğu arasındaki korelasyon düşük kalmıştır. Bu durum, validasyon setinin bile "normal dönem" özelliklerini taşımasından kaynaklanmaktadır — kriz döneminin test setinde model tamamen farklı bir rejimle karşılaşmaktadır.</w:t>
      </w:r>
    </w:p>
    <w:p/>
    <w:p>
      <w:pPr>
        <w:ind w:left="567"/>
      </w:pPr>
      <w:r>
        <w:rPr>
          <w:rFonts w:ascii="Consolas" w:hAnsi="Consolas"/>
          <w:sz w:val="16"/>
        </w:rPr>
        <w:t>Gelecek Çalışmalar (İş Paketi 9): Adversarial validation tekniği kullanılarak validasyon setinin test setine benzerliği ölçülecek ve rejim değişikliklerini algılayan bir mekanizma geliştirilecektir.</w:t>
      </w:r>
    </w:p>
    <w:p/>
    <w:p/>
    <w:p>
      <w:pPr>
        <w:pStyle w:val="Heading2"/>
      </w:pPr>
      <w:r>
        <w:t>10. Makro Değişken Gecikmesi ve Zamanlama Kısıtı</w:t>
      </w:r>
    </w:p>
    <w:p/>
    <w:p>
      <w:pPr>
        <w:ind w:firstLine="425"/>
      </w:pPr>
      <w:r>
        <w:t>Projede kullanılan makroekonomik değişkenler (USDTRY, Brent Petrol, TCMB Faiz) günlük kapanış değerleri olarak alınmıştır. Ancak gün içi (intra-day) gecikme kontrol edilmemiştir: örneğin bir TCMB faiz kararı gün ortasında açıklandığında, model bu bilgiyi aynı günün kapanış fiyatıyla eşleştirmektedir. Bu durum, küçük ama potansiyel bir look-ahead bias riski oluşturmaktadır. Ayrıca, bazı makro değişkenlerin etkisinin gecikmeli (lagged) olabileceği — örneğin kur şokunun hisseye 1-3 gün gecikmeli yansıması — sistematik olarak test edilmemiştir.</w:t>
      </w:r>
    </w:p>
    <w:p/>
    <w:p>
      <w:pPr>
        <w:ind w:left="567"/>
      </w:pPr>
      <w:r>
        <w:rPr>
          <w:rFonts w:ascii="Consolas" w:hAnsi="Consolas"/>
          <w:sz w:val="16"/>
        </w:rPr>
        <w:t>Gelecek Çalışmalar (İş Paketi 10): Makro değişkenlerde T-1 ve T-2 gecikmeleri (lags) sistematik olarak test edilecek, intra-day zamanlama kontrolü için gün sonu kapanış saati sonrasındaki veriler kullanılacaktır.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