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B68900" w:sz="24" w:space="2"/>
        </w:pBdr>
        <w:tabs>
          <w:tab w:val="right" w:pos="9306"/>
        </w:tabs>
        <w:spacing w:after="0" w:before="0"/>
      </w:pPr>
      <w:r>
        <w:rPr>
          <w:rFonts w:ascii="Cambria" w:cs="Cambria" w:eastAsia="Cambria" w:hAnsi="Cambria"/>
          <w:b/>
          <w:bCs/>
          <w:color w:val="0B2545"/>
          <w:sz w:val="20"/>
          <w:szCs w:val="20"/>
        </w:rPr>
        <w:t xml:space="preserve">TÜBİTAK 2209-A</w:t>
      </w:r>
      <w:r>
        <w:rPr>
          <w:rFonts w:ascii="Calibri" w:cs="Calibri" w:eastAsia="Calibri" w:hAnsi="Calibri"/>
          <w:color w:val="5B6273"/>
          <w:spacing w:val="100"/>
          <w:sz w:val="18"/>
          <w:szCs w:val="18"/>
        </w:rPr>
        <w:t xml:space="preserve">	2026 / 2 DÖNEMİ</w:t>
      </w:r>
    </w:p>
    <w:p>
      <w:pPr>
        <w:spacing w:after="0" w:before="1100"/>
      </w:pPr>
    </w:p>
    <w:p>
      <w:pPr>
        <w:spacing w:after="80" w:before="0"/>
      </w:pPr>
      <w:r>
        <w:rPr>
          <w:rFonts w:ascii="Calibri" w:cs="Calibri" w:eastAsia="Calibri" w:hAnsi="Calibri"/>
          <w:b/>
          <w:bCs/>
          <w:color w:val="B68900"/>
          <w:spacing w:val="120"/>
          <w:sz w:val="18"/>
          <w:szCs w:val="18"/>
        </w:rPr>
        <w:t xml:space="preserve">PROJE DURUM RAPORU · v6 NİHAİ</w:t>
      </w:r>
    </w:p>
    <w:p>
      <w:pPr>
        <w:spacing w:after="80" w:before="0"/>
      </w:pPr>
      <w:r>
        <w:rPr>
          <w:rFonts w:ascii="Cambria" w:cs="Cambria" w:eastAsia="Cambria" w:hAnsi="Cambria"/>
          <w:color w:val="1F2330"/>
          <w:sz w:val="40"/>
          <w:szCs w:val="40"/>
        </w:rPr>
        <w:t xml:space="preserve">Türkiye Finansal Piyasalarında</w:t>
      </w:r>
    </w:p>
    <w:p>
      <w:pPr>
        <w:spacing w:after="80" w:before="0"/>
      </w:pPr>
      <w:r>
        <w:rPr>
          <w:rFonts w:ascii="Cambria" w:cs="Cambria" w:eastAsia="Cambria" w:hAnsi="Cambria"/>
          <w:color w:val="1F2330"/>
          <w:sz w:val="40"/>
          <w:szCs w:val="40"/>
        </w:rPr>
        <w:t xml:space="preserve">Derin Öğrenme Modellerinin</w:t>
      </w:r>
    </w:p>
    <w:p>
      <w:pPr>
        <w:spacing w:after="60" w:before="0"/>
      </w:pPr>
      <w:r>
        <w:rPr>
          <w:rFonts w:ascii="Cambria" w:cs="Cambria" w:eastAsia="Cambria" w:hAnsi="Cambria"/>
          <w:b/>
          <w:bCs/>
          <w:color w:val="0B2545"/>
          <w:sz w:val="56"/>
          <w:szCs w:val="56"/>
        </w:rPr>
        <w:t xml:space="preserve">Majority Class Tuzağı</w:t>
      </w:r>
    </w:p>
    <w:p>
      <w:pPr>
        <w:pBdr>
          <w:bottom w:val="single" w:color="B68900" w:sz="12" w:space="4"/>
        </w:pBdr>
        <w:spacing w:after="0" w:before="80"/>
      </w:pPr>
      <w:r>
        <w:rPr>
          <w:rFonts w:ascii="Cambria" w:cs="Cambria" w:eastAsia="Cambria" w:hAnsi="Cambria"/>
          <w:i/>
          <w:iCs/>
          <w:color w:val="13315C"/>
          <w:sz w:val="26"/>
          <w:szCs w:val="26"/>
        </w:rPr>
        <w:t xml:space="preserve">Sistematik Teşhis ve BiLSTM Tabanlı Çözüm Yaklaşımı</w:t>
      </w:r>
    </w:p>
    <w:p>
      <w:pPr>
        <w:spacing w:before="640"/>
      </w:pP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26"/>
        <w:gridCol w:w="2326"/>
        <w:gridCol w:w="2326"/>
        <w:gridCol w:w="2328"/>
      </w:tblGrid>
      <w:tr>
        <w:tc>
          <w:tcPr>
            <w:tcW w:type="dxa" w:w="2326"/>
            <w:tcBorders>
              <w:top w:val="single" w:color="B68900" w:sz="36"/>
              <w:left w:val="single" w:color="D9DEE7" w:sz="4"/>
              <w:bottom w:val="single" w:color="D9DEE7" w:sz="4"/>
              <w:right w:val="single" w:color="D9DEE7" w:sz="4"/>
            </w:tcBorders>
            <w:shd w:fill="F4F6FA" w:val="clear"/>
            <w:tcMar>
              <w:top w:type="dxa" w:w="220"/>
              <w:left w:type="dxa" w:w="200"/>
              <w:bottom w:type="dxa" w:w="220"/>
              <w:right w:type="dxa" w:w="200"/>
            </w:tcMar>
            <w:vAlign w:val="center"/>
          </w:tcPr>
          <w:p>
            <w:pPr>
              <w:spacing w:after="30" w:before="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0B2545"/>
                <w:sz w:val="44"/>
                <w:szCs w:val="44"/>
              </w:rPr>
              <w:t xml:space="preserve">22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5B6273"/>
                <w:spacing w:val="30"/>
                <w:sz w:val="17"/>
                <w:szCs w:val="17"/>
              </w:rPr>
              <w:t xml:space="preserve">TAMAMLANAN DENEY</w:t>
            </w:r>
          </w:p>
        </w:tc>
        <w:tc>
          <w:tcPr>
            <w:tcW w:type="dxa" w:w="2326"/>
            <w:tcBorders>
              <w:top w:val="single" w:color="B68900" w:sz="36"/>
              <w:left w:val="single" w:color="D9DEE7" w:sz="4"/>
              <w:bottom w:val="single" w:color="D9DEE7" w:sz="4"/>
              <w:right w:val="single" w:color="D9DEE7" w:sz="4"/>
            </w:tcBorders>
            <w:shd w:fill="F4F6FA" w:val="clear"/>
            <w:tcMar>
              <w:top w:type="dxa" w:w="220"/>
              <w:left w:type="dxa" w:w="200"/>
              <w:bottom w:type="dxa" w:w="220"/>
              <w:right w:type="dxa" w:w="200"/>
            </w:tcMar>
            <w:vAlign w:val="center"/>
          </w:tcPr>
          <w:p>
            <w:pPr>
              <w:spacing w:after="30" w:before="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0B2545"/>
                <w:sz w:val="44"/>
                <w:szCs w:val="44"/>
              </w:rPr>
              <w:t xml:space="preserve">7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5B6273"/>
                <w:spacing w:val="30"/>
                <w:sz w:val="17"/>
                <w:szCs w:val="17"/>
              </w:rPr>
              <w:t xml:space="preserve">MİMARİ ABLASYON</w:t>
            </w:r>
          </w:p>
        </w:tc>
        <w:tc>
          <w:tcPr>
            <w:tcW w:type="dxa" w:w="2326"/>
            <w:tcBorders>
              <w:top w:val="single" w:color="B68900" w:sz="36"/>
              <w:left w:val="single" w:color="D9DEE7" w:sz="4"/>
              <w:bottom w:val="single" w:color="D9DEE7" w:sz="4"/>
              <w:right w:val="single" w:color="D9DEE7" w:sz="4"/>
            </w:tcBorders>
            <w:shd w:fill="F4F6FA" w:val="clear"/>
            <w:tcMar>
              <w:top w:type="dxa" w:w="220"/>
              <w:left w:type="dxa" w:w="200"/>
              <w:bottom w:type="dxa" w:w="220"/>
              <w:right w:type="dxa" w:w="200"/>
            </w:tcMar>
            <w:vAlign w:val="center"/>
          </w:tcPr>
          <w:p>
            <w:pPr>
              <w:spacing w:after="30" w:before="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0B2545"/>
                <w:sz w:val="44"/>
                <w:szCs w:val="44"/>
              </w:rPr>
              <w:t xml:space="preserve">350+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5B6273"/>
                <w:spacing w:val="30"/>
                <w:sz w:val="17"/>
                <w:szCs w:val="17"/>
              </w:rPr>
              <w:t xml:space="preserve">KONFİGÜRASYON</w:t>
            </w:r>
          </w:p>
        </w:tc>
        <w:tc>
          <w:tcPr>
            <w:tcW w:type="dxa" w:w="2328"/>
            <w:tcBorders>
              <w:top w:val="single" w:color="B68900" w:sz="36"/>
              <w:left w:val="single" w:color="D9DEE7" w:sz="4"/>
              <w:bottom w:val="single" w:color="D9DEE7" w:sz="4"/>
              <w:right w:val="single" w:color="D9DEE7" w:sz="4"/>
            </w:tcBorders>
            <w:shd w:fill="F4F6FA" w:val="clear"/>
            <w:tcMar>
              <w:top w:type="dxa" w:w="220"/>
              <w:left w:type="dxa" w:w="200"/>
              <w:bottom w:type="dxa" w:w="220"/>
              <w:right w:type="dxa" w:w="200"/>
            </w:tcMar>
            <w:vAlign w:val="center"/>
          </w:tcPr>
          <w:p>
            <w:pPr>
              <w:spacing w:after="30" w:before="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0B2545"/>
                <w:sz w:val="44"/>
                <w:szCs w:val="44"/>
              </w:rPr>
              <w:t xml:space="preserve">20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5B6273"/>
                <w:spacing w:val="30"/>
                <w:sz w:val="17"/>
                <w:szCs w:val="17"/>
              </w:rPr>
              <w:t xml:space="preserve">BİLİMSEL GÖRSEL</w:t>
            </w:r>
          </w:p>
        </w:tc>
      </w:tr>
    </w:tbl>
    <w:p>
      <w:pPr>
        <w:spacing w:before="700"/>
      </w:pP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2"/>
        <w:gridCol w:w="3102"/>
        <w:gridCol w:w="3102"/>
      </w:tblGrid>
      <w:tr>
        <w:tc>
          <w:tcPr>
            <w:tcW w:type="dxa" w:w="3102"/>
            <w:tcBorders>
              <w:top w:val="single" w:color="0B2545" w:sz="8"/>
              <w:left w:val="none" w:color="FFFFFF" w:sz="0"/>
              <w:bottom w:val="single" w:color="0B2545" w:sz="8"/>
              <w:right w:val="none" w:color="FFFFFF" w:sz="0"/>
            </w:tcBorders>
            <w:shd w:fill="FFFFFF" w:val="clear"/>
            <w:tcMar>
              <w:top w:type="dxa" w:w="160"/>
              <w:left w:type="dxa" w:w="100"/>
              <w:bottom w:type="dxa" w:w="1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B68900"/>
                <w:spacing w:val="80"/>
                <w:sz w:val="15"/>
                <w:szCs w:val="15"/>
              </w:rPr>
              <w:t xml:space="preserve">YÜRÜTÜCÜ</w:t>
            </w:r>
          </w:p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F2330"/>
                <w:sz w:val="20"/>
                <w:szCs w:val="20"/>
              </w:rPr>
              <w:t xml:space="preserve">Mehmet Ali KURT</w:t>
            </w:r>
          </w:p>
        </w:tc>
        <w:tc>
          <w:tcPr>
            <w:tcW w:type="dxa" w:w="3102"/>
            <w:tcBorders>
              <w:top w:val="single" w:color="0B2545" w:sz="8"/>
              <w:left w:val="none" w:color="FFFFFF" w:sz="0"/>
              <w:bottom w:val="single" w:color="0B2545" w:sz="8"/>
              <w:right w:val="none" w:color="FFFFFF" w:sz="0"/>
            </w:tcBorders>
            <w:shd w:fill="FFFFFF" w:val="clear"/>
            <w:tcMar>
              <w:top w:type="dxa" w:w="160"/>
              <w:left w:type="dxa" w:w="100"/>
              <w:bottom w:type="dxa" w:w="1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B68900"/>
                <w:spacing w:val="80"/>
                <w:sz w:val="15"/>
                <w:szCs w:val="15"/>
              </w:rPr>
              <w:t xml:space="preserve">YARDIMCI</w:t>
            </w:r>
          </w:p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F2330"/>
                <w:sz w:val="20"/>
                <w:szCs w:val="20"/>
              </w:rPr>
              <w:t xml:space="preserve">Şevval DEMİR</w:t>
            </w:r>
          </w:p>
        </w:tc>
        <w:tc>
          <w:tcPr>
            <w:tcW w:type="dxa" w:w="3102"/>
            <w:tcBorders>
              <w:top w:val="single" w:color="0B2545" w:sz="8"/>
              <w:left w:val="none" w:color="FFFFFF" w:sz="0"/>
              <w:bottom w:val="single" w:color="0B2545" w:sz="8"/>
              <w:right w:val="none" w:color="FFFFFF" w:sz="0"/>
            </w:tcBorders>
            <w:shd w:fill="FFFFFF" w:val="clear"/>
            <w:tcMar>
              <w:top w:type="dxa" w:w="160"/>
              <w:left w:type="dxa" w:w="100"/>
              <w:bottom w:type="dxa" w:w="1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B68900"/>
                <w:spacing w:val="80"/>
                <w:sz w:val="15"/>
                <w:szCs w:val="15"/>
              </w:rPr>
              <w:t xml:space="preserve">DANIŞMAN</w:t>
            </w:r>
          </w:p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F2330"/>
                <w:sz w:val="20"/>
                <w:szCs w:val="20"/>
              </w:rPr>
              <w:t xml:space="preserve">Doç. Dr. Övgücan KARADAĞ ERDEMİR</w:t>
            </w:r>
          </w:p>
        </w:tc>
      </w:tr>
    </w:tbl>
    <w:p>
      <w:pPr>
        <w:spacing w:before="360"/>
      </w:pPr>
    </w:p>
    <w:p>
      <w:pPr>
        <w:spacing w:after="60" w:before="0"/>
        <w:jc w:val="center"/>
      </w:pPr>
      <w:r>
        <w:rPr>
          <w:rFonts w:ascii="Calibri" w:cs="Calibri" w:eastAsia="Calibri" w:hAnsi="Calibri"/>
          <w:color w:val="5B6273"/>
          <w:spacing w:val="80"/>
          <w:sz w:val="16"/>
          <w:szCs w:val="16"/>
        </w:rPr>
        <w:t xml:space="preserve">DURUM  </w:t>
      </w:r>
      <w:r>
        <w:rPr>
          <w:rFonts w:ascii="Cambria" w:cs="Cambria" w:eastAsia="Cambria" w:hAnsi="Cambria"/>
          <w:b/>
          <w:bCs/>
          <w:color w:val="2F6A3E"/>
          <w:sz w:val="22"/>
          <w:szCs w:val="22"/>
        </w:rPr>
        <w:t xml:space="preserve">TAMAMLANDI — BAŞVURUYA HAZIR</w:t>
      </w:r>
    </w:p>
    <w:p>
      <w:pPr>
        <w:spacing w:after="0" w:before="0"/>
        <w:jc w:val="center"/>
      </w:pPr>
      <w:r>
        <w:rPr>
          <w:rFonts w:ascii="Calibri" w:cs="Calibri" w:eastAsia="Calibri" w:hAnsi="Calibri"/>
          <w:i/>
          <w:iCs/>
          <w:color w:val="5B6273"/>
          <w:sz w:val="17"/>
          <w:szCs w:val="17"/>
        </w:rPr>
        <w:t xml:space="preserve">Tüm sayılar CSV ground-truth ile birebir doğrulanmıştır</w:t>
      </w:r>
    </w:p>
    <w:p>
      <w:r>
        <w:br w:type="page"/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06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68900" w:val="clear"/>
            <w:tcMar>
              <w:top w:type="dxa" w:w="240"/>
              <w:left w:type="dxa" w:w="200"/>
              <w:bottom w:type="dxa" w:w="240"/>
              <w:right w:type="dxa" w:w="2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56"/>
                <w:szCs w:val="56"/>
              </w:rPr>
              <w:t xml:space="preserve">00</w:t>
            </w:r>
          </w:p>
        </w:tc>
        <w:tc>
          <w:tcPr>
            <w:tcW w:type="dxa" w:w="7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2545" w:val="clear"/>
            <w:tcMar>
              <w:top w:type="dxa" w:w="240"/>
              <w:left w:type="dxa" w:w="360"/>
              <w:bottom w:type="dxa" w:w="240"/>
              <w:right w:type="dxa" w:w="2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B68900"/>
                <w:spacing w:val="60"/>
                <w:sz w:val="16"/>
                <w:szCs w:val="16"/>
              </w:rPr>
              <w:t xml:space="preserve">BÖLÜM</w:t>
            </w:r>
          </w:p>
          <w:p>
            <w:pPr>
              <w:spacing w:after="0" w:before="40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36"/>
                <w:szCs w:val="36"/>
              </w:rPr>
              <w:t xml:space="preserve">İçindekiler</w:t>
            </w:r>
          </w:p>
        </w:tc>
      </w:tr>
    </w:tbl>
    <w:p>
      <w:pPr>
        <w:pStyle w:val="Heading1"/>
        <w:spacing w:after="200" w:before="0"/>
      </w:pPr>
      <w:r>
        <w:rPr>
          <w:rFonts w:ascii="Cambria" w:cs="Cambria" w:eastAsia="Cambria" w:hAnsi="Cambria"/>
          <w:color w:val="FFFFFF"/>
          <w:sz w:val="4"/>
          <w:szCs w:val="4"/>
        </w:rPr>
        <w:t xml:space="preserve">İçindekiler</w:t>
      </w:r>
    </w:p>
    <w:sdt>
      <w:sdtPr>
        <w:alias w:val="İçindekiler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06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68900" w:val="clear"/>
            <w:tcMar>
              <w:top w:type="dxa" w:w="240"/>
              <w:left w:type="dxa" w:w="200"/>
              <w:bottom w:type="dxa" w:w="240"/>
              <w:right w:type="dxa" w:w="2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56"/>
                <w:szCs w:val="56"/>
              </w:rPr>
              <w:t xml:space="preserve">01</w:t>
            </w:r>
          </w:p>
        </w:tc>
        <w:tc>
          <w:tcPr>
            <w:tcW w:type="dxa" w:w="7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2545" w:val="clear"/>
            <w:tcMar>
              <w:top w:type="dxa" w:w="240"/>
              <w:left w:type="dxa" w:w="360"/>
              <w:bottom w:type="dxa" w:w="240"/>
              <w:right w:type="dxa" w:w="2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B68900"/>
                <w:spacing w:val="60"/>
                <w:sz w:val="16"/>
                <w:szCs w:val="16"/>
              </w:rPr>
              <w:t xml:space="preserve">BÖLÜM</w:t>
            </w:r>
          </w:p>
          <w:p>
            <w:pPr>
              <w:spacing w:after="0" w:before="40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36"/>
                <w:szCs w:val="36"/>
              </w:rPr>
              <w:t xml:space="preserve">Yönetici Özeti</w:t>
            </w:r>
          </w:p>
        </w:tc>
      </w:tr>
    </w:tbl>
    <w:p>
      <w:pPr>
        <w:pStyle w:val="Heading1"/>
        <w:spacing w:after="200" w:before="0"/>
      </w:pPr>
      <w:r>
        <w:rPr>
          <w:rFonts w:ascii="Cambria" w:cs="Cambria" w:eastAsia="Cambria" w:hAnsi="Cambria"/>
          <w:color w:val="FFFFFF"/>
          <w:sz w:val="4"/>
          <w:szCs w:val="4"/>
        </w:rPr>
        <w:t xml:space="preserve">Yönetici Özeti</w:t>
      </w:r>
    </w:p>
    <w:p>
      <w:pPr>
        <w:spacing w:after="80" w:before="80" w:line="320"/>
      </w:pPr>
      <w:r>
        <w:rPr>
          <w:rFonts w:ascii="Cambria" w:cs="Cambria" w:eastAsia="Cambria" w:hAnsi="Cambria"/>
          <w:b/>
          <w:bCs/>
          <w:color w:val="0B2545"/>
          <w:sz w:val="56"/>
          <w:szCs w:val="56"/>
        </w:rPr>
        <w:t xml:space="preserve">T</w:t>
      </w:r>
      <w:r>
        <w:rPr>
          <w:rFonts w:ascii="Calibri" w:cs="Calibri" w:eastAsia="Calibri" w:hAnsi="Calibri"/>
          <w:color w:val="1F2330"/>
          <w:sz w:val="22"/>
          <w:szCs w:val="22"/>
        </w:rPr>
        <w:t xml:space="preserve">ürkiye finansal piyasalarında derin öğrenme tabanlı yön tahmini yapan modeller (LSTM, CNN), sınıf dengesizliği koşullarında "Majority Class (MC) Tuzağı"na düşer: model her örneğe çoğunluk sınıfını ("Up") tahmin eder, görünür Accuracy yüksek çıkar (≈ %80) ancak hiçbir ayırt edici örüntü öğrenilmemiştir (Specificity = 0). Bu proje, BiLSTM tabanlı bir mimari ile MC tuzağını ortadan kaldırmış; ardından makroekonomik korelasyon kırılması mekanizması üzerinden ortaya çıkan sistematik anti-prediktif davranışı 22 deney ve 350’den fazla hiperparametre konfigürasyonu üzerinden karakterize etmiştir.</w:t>
      </w:r>
    </w:p>
    <w:p>
      <w:pPr>
        <w:spacing w:after="80" w:before="80" w:line="320"/>
      </w:pPr>
      <w:r>
        <w:rPr>
          <w:rFonts w:ascii="Calibri" w:cs="Calibri" w:eastAsia="Calibri" w:hAnsi="Calibri"/>
          <w:color w:val="1F2330"/>
          <w:sz w:val="22"/>
          <w:szCs w:val="22"/>
        </w:rPr>
        <w:t xml:space="preserve">Rapordaki tüm sayısal değerler proje deposundaki CSV ground-truth dosyalarına (Sonuclar/summaries/ ve Sonuclar/diagnostics/) birebir uyumludur. Yedi mimari ablasyon konfigürasyonunun tamamında mc_count = 0 (105/105 koşu), THYAO genişletilmiş örnekleminde flip_Acc &gt; Naive 118/120 (%98) ve pooled walk-forward accuracy 0,5029 — bunların hepsi ilgili SUMMARY/STRICT CSV dosyalarından doğrulanabilir.</w:t>
      </w:r>
    </w:p>
    <w:p>
      <w:pPr>
        <w:spacing w:after="80" w:before="80" w:line="320"/>
      </w:pPr>
      <w:r>
        <w:rPr>
          <w:rFonts w:ascii="Calibri" w:cs="Calibri" w:eastAsia="Calibri" w:hAnsi="Calibri"/>
          <w:color w:val="1F2330"/>
          <w:sz w:val="22"/>
          <w:szCs w:val="22"/>
        </w:rPr>
        <w:t xml:space="preserve"> 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6"/>
      </w:tblGrid>
      <w:tr>
        <w:tc>
          <w:tcPr>
            <w:tcW w:type="dxa" w:w="9306"/>
            <w:tcBorders>
              <w:top w:val="single" w:color="EAF1F7" w:sz="4"/>
              <w:left w:val="single" w:color="0B2545" w:sz="36"/>
              <w:bottom w:val="single" w:color="EAF1F7" w:sz="4"/>
              <w:right w:val="single" w:color="EAF1F7" w:sz="4"/>
            </w:tcBorders>
            <w:shd w:fill="EAF1F7" w:val="clear"/>
            <w:tcMar>
              <w:top w:type="dxa" w:w="220"/>
              <w:left w:type="dxa" w:w="280"/>
              <w:bottom w:type="dxa" w:w="22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Cambria" w:cs="Cambria" w:eastAsia="Cambria" w:hAnsi="Cambria"/>
                <w:b/>
                <w:bCs/>
                <w:color w:val="0B2545"/>
                <w:sz w:val="22"/>
                <w:szCs w:val="22"/>
              </w:rPr>
              <w:t xml:space="preserve">◆  En Önemli Altı Bulgu — Tek Bakışta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 w:line="300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22"/>
                <w:szCs w:val="22"/>
              </w:rPr>
              <w:t xml:space="preserve">MC Tuzağı Çözüldü: </w:t>
            </w:r>
            <w:r>
              <w:rPr>
                <w:rFonts w:ascii="Calibri" w:cs="Calibri" w:eastAsia="Calibri" w:hAnsi="Calibri"/>
                <w:color w:val="1F2330"/>
                <w:sz w:val="22"/>
                <w:szCs w:val="22"/>
              </w:rPr>
              <w:t xml:space="preserve">7 mimari ablasyon konfigürasyonunun tamamında </w:t>
            </w:r>
            <w:r>
              <w:rPr>
                <w:rFonts w:ascii="Calibri" w:cs="Calibri" w:eastAsia="Calibri" w:hAnsi="Calibri"/>
                <w:b/>
                <w:bCs/>
                <w:color w:val="A03A2C"/>
                <w:sz w:val="22"/>
                <w:szCs w:val="22"/>
              </w:rPr>
              <w:t xml:space="preserve">mc_count = 0</w:t>
            </w:r>
            <w:r>
              <w:rPr>
                <w:rFonts w:ascii="Calibri" w:cs="Calibri" w:eastAsia="Calibri" w:hAnsi="Calibri"/>
                <w:color w:val="1F2330"/>
                <w:sz w:val="22"/>
                <w:szCs w:val="22"/>
              </w:rPr>
              <w:t xml:space="preserve"> (CROSS_ARCH_SUMMARY: 105/105 koşu MC tuzağından muaf).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 w:line="300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22"/>
                <w:szCs w:val="22"/>
              </w:rPr>
              <w:t xml:space="preserve">Anti-Prediktif (THYAO): </w:t>
            </w:r>
            <w:r>
              <w:rPr>
                <w:rFonts w:ascii="Calibri" w:cs="Calibri" w:eastAsia="Calibri" w:hAnsi="Calibri"/>
                <w:color w:val="1F2330"/>
                <w:sz w:val="22"/>
                <w:szCs w:val="22"/>
              </w:rPr>
              <w:t xml:space="preserve">Çapraz mimari + pencere düzeltmesi koşullarında </w:t>
            </w:r>
            <w:r>
              <w:rPr>
                <w:rFonts w:ascii="Calibri" w:cs="Calibri" w:eastAsia="Calibri" w:hAnsi="Calibri"/>
                <w:b/>
                <w:bCs/>
                <w:color w:val="A03A2C"/>
                <w:sz w:val="22"/>
                <w:szCs w:val="22"/>
              </w:rPr>
              <w:t xml:space="preserve">118/120 (%98)</w:t>
            </w:r>
            <w:r>
              <w:rPr>
                <w:rFonts w:ascii="Calibri" w:cs="Calibri" w:eastAsia="Calibri" w:hAnsi="Calibri"/>
                <w:color w:val="1F2330"/>
                <w:sz w:val="22"/>
                <w:szCs w:val="22"/>
              </w:rPr>
              <w:t xml:space="preserve"> konfigürasyon flip_Acc &gt; Naive_Acc; tek-binom p ≈ 6 × 10⁻³³.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 w:line="300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22"/>
                <w:szCs w:val="22"/>
              </w:rPr>
              <w:t xml:space="preserve">Mekanizma: </w:t>
            </w:r>
            <w:r>
              <w:rPr>
                <w:rFonts w:ascii="Calibri" w:cs="Calibri" w:eastAsia="Calibri" w:hAnsi="Calibri"/>
                <w:color w:val="1F2330"/>
                <w:sz w:val="22"/>
                <w:szCs w:val="22"/>
              </w:rPr>
              <w:t xml:space="preserve">USDTRY (Δ = –0,496), Oil (Δ = –0,562, işaret değişimi) ve TCMB_Rate korelasyon kırılması </w:t>
            </w:r>
            <w:r>
              <w:rPr>
                <w:rFonts w:ascii="Calibri" w:cs="Calibri" w:eastAsia="Calibri" w:hAnsi="Calibri"/>
                <w:b/>
                <w:bCs/>
                <w:color w:val="1F2330"/>
                <w:sz w:val="22"/>
                <w:szCs w:val="22"/>
              </w:rPr>
              <w:t xml:space="preserve">birlikte</w:t>
            </w:r>
            <w:r>
              <w:rPr>
                <w:rFonts w:ascii="Calibri" w:cs="Calibri" w:eastAsia="Calibri" w:hAnsi="Calibri"/>
                <w:color w:val="1F2330"/>
                <w:sz w:val="22"/>
                <w:szCs w:val="22"/>
              </w:rPr>
              <w:t xml:space="preserve"> anti-prediktif davranışın gerekli ama yeterli olmayan koşulunu oluşturuyor.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 w:line="300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22"/>
                <w:szCs w:val="22"/>
              </w:rPr>
              <w:t xml:space="preserve">Pencere Bağımlılığı: </w:t>
            </w:r>
            <w:r>
              <w:rPr>
                <w:rFonts w:ascii="Calibri" w:cs="Calibri" w:eastAsia="Calibri" w:hAnsi="Calibri"/>
                <w:color w:val="1F2330"/>
                <w:sz w:val="22"/>
                <w:szCs w:val="22"/>
              </w:rPr>
              <w:t xml:space="preserve">Etki IN_LEN = 2’ye özgü (8/15 sıkı anti-pred); IN_LEN = 5 ve 10’da </w:t>
            </w:r>
            <w:r>
              <w:rPr>
                <w:rFonts w:ascii="Calibri" w:cs="Calibri" w:eastAsia="Calibri" w:hAnsi="Calibri"/>
                <w:b/>
                <w:bCs/>
                <w:color w:val="A03A2C"/>
                <w:sz w:val="22"/>
                <w:szCs w:val="22"/>
              </w:rPr>
              <w:t xml:space="preserve">tamamen kayboluyor (0/15)</w:t>
            </w:r>
            <w:r>
              <w:rPr>
                <w:rFonts w:ascii="Calibri" w:cs="Calibri" w:eastAsia="Calibri" w:hAnsi="Calibri"/>
                <w:color w:val="1F2330"/>
                <w:sz w:val="22"/>
                <w:szCs w:val="22"/>
              </w:rPr>
              <w:t xml:space="preserve"> — dönemsel ve rejim-bağımlı.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 w:line="300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22"/>
                <w:szCs w:val="22"/>
              </w:rPr>
              <w:t xml:space="preserve">Sektörel Falsification: </w:t>
            </w:r>
            <w:r>
              <w:rPr>
                <w:rFonts w:ascii="Calibri" w:cs="Calibri" w:eastAsia="Calibri" w:hAnsi="Calibri"/>
                <w:color w:val="1F2330"/>
                <w:sz w:val="22"/>
                <w:szCs w:val="22"/>
              </w:rPr>
              <w:t xml:space="preserve">Sigorta sektöründe </w:t>
            </w:r>
            <w:r>
              <w:rPr>
                <w:rFonts w:ascii="Calibri" w:cs="Calibri" w:eastAsia="Calibri" w:hAnsi="Calibri"/>
                <w:b/>
                <w:bCs/>
                <w:color w:val="A03A2C"/>
                <w:sz w:val="22"/>
                <w:szCs w:val="22"/>
              </w:rPr>
              <w:t xml:space="preserve">2/5</w:t>
            </w:r>
            <w:r>
              <w:rPr>
                <w:rFonts w:ascii="Calibri" w:cs="Calibri" w:eastAsia="Calibri" w:hAnsi="Calibri"/>
                <w:color w:val="1F2330"/>
                <w:sz w:val="22"/>
                <w:szCs w:val="22"/>
              </w:rPr>
              <w:t xml:space="preserve"> hisse (AKGRT, ANSGR) sıkı anti-prediktif; holding sektöründe </w:t>
            </w:r>
            <w:r>
              <w:rPr>
                <w:rFonts w:ascii="Calibri" w:cs="Calibri" w:eastAsia="Calibri" w:hAnsi="Calibri"/>
                <w:b/>
                <w:bCs/>
                <w:color w:val="2F6A3E"/>
                <w:sz w:val="22"/>
                <w:szCs w:val="22"/>
              </w:rPr>
              <w:t xml:space="preserve">0/5</w:t>
            </w:r>
            <w:r>
              <w:rPr>
                <w:rFonts w:ascii="Calibri" w:cs="Calibri" w:eastAsia="Calibri" w:hAnsi="Calibri"/>
                <w:color w:val="1F2330"/>
                <w:sz w:val="22"/>
                <w:szCs w:val="22"/>
              </w:rPr>
              <w:t xml:space="preserve"> — beklenen kontrast doğrulandı.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 w:line="300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22"/>
                <w:szCs w:val="22"/>
              </w:rPr>
              <w:t xml:space="preserve">Klasik ML Negatif Kontrol: </w:t>
            </w:r>
            <w:r>
              <w:rPr>
                <w:rFonts w:ascii="Calibri" w:cs="Calibri" w:eastAsia="Calibri" w:hAnsi="Calibri"/>
                <w:color w:val="1F2330"/>
                <w:sz w:val="22"/>
                <w:szCs w:val="22"/>
              </w:rPr>
              <w:t xml:space="preserve">THYAO + GARAN + AAPL üzerinde 11 model konfigürasyonundan </w:t>
            </w:r>
            <w:r>
              <w:rPr>
                <w:rFonts w:ascii="Calibri" w:cs="Calibri" w:eastAsia="Calibri" w:hAnsi="Calibri"/>
                <w:b/>
                <w:bCs/>
                <w:color w:val="A03A2C"/>
                <w:sz w:val="22"/>
                <w:szCs w:val="22"/>
              </w:rPr>
              <w:t xml:space="preserve">yalnızca 1</w:t>
            </w:r>
            <w:r>
              <w:rPr>
                <w:rFonts w:ascii="Calibri" w:cs="Calibri" w:eastAsia="Calibri" w:hAnsi="Calibri"/>
                <w:color w:val="1F2330"/>
                <w:sz w:val="22"/>
                <w:szCs w:val="22"/>
              </w:rPr>
              <w:t xml:space="preserve"> (GARAN RF) Naive’i sınırda geçebilmiştir (EMH ile tutarlı).</w:t>
            </w:r>
          </w:p>
        </w:tc>
      </w:tr>
    </w:tbl>
    <w:p>
      <w:pPr>
        <w:spacing w:after="80" w:before="80" w:line="320"/>
      </w:pPr>
      <w:r>
        <w:rPr>
          <w:rFonts w:ascii="Calibri" w:cs="Calibri" w:eastAsia="Calibri" w:hAnsi="Calibri"/>
          <w:color w:val="1F2330"/>
          <w:sz w:val="22"/>
          <w:szCs w:val="22"/>
        </w:rPr>
        <w:t xml:space="preserve"> 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6"/>
      </w:tblGrid>
      <w:tr>
        <w:tc>
          <w:tcPr>
            <w:tcW w:type="dxa" w:w="9306"/>
            <w:tcBorders>
              <w:top w:val="none" w:color="FFFFFF" w:sz="0"/>
              <w:left w:val="single" w:color="B68900" w:sz="36"/>
              <w:bottom w:val="none" w:color="FFFFFF" w:sz="0"/>
              <w:right w:val="none" w:color="FFFFFF" w:sz="0"/>
            </w:tcBorders>
            <w:shd w:fill="FFFFFF" w:val="clear"/>
            <w:tcMar>
              <w:top w:type="dxa" w:w="160"/>
              <w:left w:type="dxa" w:w="48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Cambria" w:cs="Cambria" w:eastAsia="Cambria" w:hAnsi="Cambria"/>
                <w:i/>
                <w:iCs/>
                <w:color w:val="0B2545"/>
                <w:sz w:val="26"/>
                <w:szCs w:val="26"/>
              </w:rPr>
              <w:t xml:space="preserve">"Bulgu BiLSTM artefaktı değil veri özelliğidir: yedi farklı mimari aynı yönü gösteriyor; McNemar testi yalnızca derece farkı veriyor."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B6273"/>
                <w:sz w:val="18"/>
                <w:szCs w:val="18"/>
              </w:rPr>
              <w:t xml:space="preserve">— § 3.3 Mimari Ablasyonu</w:t>
            </w:r>
          </w:p>
        </w:tc>
      </w:tr>
    </w:tbl>
    <w:p>
      <w:r>
        <w:br w:type="page"/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06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68900" w:val="clear"/>
            <w:tcMar>
              <w:top w:type="dxa" w:w="240"/>
              <w:left w:type="dxa" w:w="200"/>
              <w:bottom w:type="dxa" w:w="240"/>
              <w:right w:type="dxa" w:w="2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56"/>
                <w:szCs w:val="56"/>
              </w:rPr>
              <w:t xml:space="preserve">02</w:t>
            </w:r>
          </w:p>
        </w:tc>
        <w:tc>
          <w:tcPr>
            <w:tcW w:type="dxa" w:w="7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2545" w:val="clear"/>
            <w:tcMar>
              <w:top w:type="dxa" w:w="240"/>
              <w:left w:type="dxa" w:w="360"/>
              <w:bottom w:type="dxa" w:w="240"/>
              <w:right w:type="dxa" w:w="2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B68900"/>
                <w:spacing w:val="60"/>
                <w:sz w:val="16"/>
                <w:szCs w:val="16"/>
              </w:rPr>
              <w:t xml:space="preserve">BÖLÜM</w:t>
            </w:r>
          </w:p>
          <w:p>
            <w:pPr>
              <w:spacing w:after="0" w:before="40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36"/>
                <w:szCs w:val="36"/>
              </w:rPr>
              <w:t xml:space="preserve">Problem Tanımı ve Hipotezler</w:t>
            </w:r>
          </w:p>
        </w:tc>
      </w:tr>
    </w:tbl>
    <w:p>
      <w:pPr>
        <w:pStyle w:val="Heading1"/>
        <w:spacing w:after="200" w:before="0"/>
      </w:pPr>
      <w:r>
        <w:rPr>
          <w:rFonts w:ascii="Cambria" w:cs="Cambria" w:eastAsia="Cambria" w:hAnsi="Cambria"/>
          <w:color w:val="FFFFFF"/>
          <w:sz w:val="4"/>
          <w:szCs w:val="4"/>
        </w:rPr>
        <w:t xml:space="preserve">Problem Tanımı ve Hipotezler</w:t>
      </w:r>
    </w:p>
    <w:p>
      <w:pPr>
        <w:pStyle w:val="Heading2"/>
        <w:pBdr>
          <w:bottom w:val="single" w:color="B68900" w:sz="8" w:space="4"/>
        </w:pBdr>
        <w:spacing w:after="140" w:before="360"/>
      </w:pPr>
      <w:r>
        <w:rPr>
          <w:rFonts w:ascii="Cambria" w:cs="Cambria" w:eastAsia="Cambria" w:hAnsi="Cambria"/>
          <w:b/>
          <w:bCs/>
          <w:color w:val="0B2545"/>
          <w:sz w:val="28"/>
          <w:szCs w:val="28"/>
        </w:rPr>
        <w:t xml:space="preserve">2.1 Bilimsel Problem</w:t>
      </w:r>
    </w:p>
    <w:p>
      <w:pPr>
        <w:spacing w:after="80" w:before="80" w:line="320"/>
      </w:pPr>
      <w:r>
        <w:rPr>
          <w:rFonts w:ascii="Calibri" w:cs="Calibri" w:eastAsia="Calibri" w:hAnsi="Calibri"/>
          <w:color w:val="1F2330"/>
          <w:sz w:val="22"/>
          <w:szCs w:val="22"/>
        </w:rPr>
        <w:t xml:space="preserve">BIST ve TEFAS gibi gelişmekte olan piyasalarda Yukarı/Aşağı oranı genellikle 53/47–60/40 aralığındadır. Hafif dengesizlik dahi sigmoid çıkışlı sınıflandırıcının Binary Cross-Entropy altında "her şeyi Up de" çözümünü yerel optimum yapar. Sonuç: yüksek Accuracy + sıfır Specificity (MC Tuzağı). Mevcut literatür bu tuzağı sıklıkla raporlamayıp Accuracy üzerinden başarı iddia etmektedir.</w:t>
      </w:r>
    </w:p>
    <w:p>
      <w:pPr>
        <w:pStyle w:val="Heading2"/>
        <w:pBdr>
          <w:bottom w:val="single" w:color="B68900" w:sz="8" w:space="4"/>
        </w:pBdr>
        <w:spacing w:after="140" w:before="360"/>
      </w:pPr>
      <w:r>
        <w:rPr>
          <w:rFonts w:ascii="Cambria" w:cs="Cambria" w:eastAsia="Cambria" w:hAnsi="Cambria"/>
          <w:b/>
          <w:bCs/>
          <w:color w:val="0B2545"/>
          <w:sz w:val="28"/>
          <w:szCs w:val="28"/>
        </w:rPr>
        <w:t xml:space="preserve">2.2 Hipotezler (Önceki ve Şu Anki Çerçeve)</w:t>
      </w:r>
    </w:p>
    <w:p>
      <w:pPr>
        <w:spacing w:after="80" w:before="80" w:line="320"/>
      </w:pPr>
      <w:r>
        <w:rPr>
          <w:rFonts w:ascii="Calibri" w:cs="Calibri" w:eastAsia="Calibri" w:hAnsi="Calibri"/>
          <w:color w:val="1F2330"/>
          <w:sz w:val="22"/>
          <w:szCs w:val="22"/>
        </w:rPr>
        <w:t xml:space="preserve">Y1 (Shannon Bound) ve Y3 (TEFAS Politika) önerileri danışman geri bildirimi ile 2209-A kapsamı için reddedilmiştir. Aktif çalışılan hipotezler:</w:t>
      </w:r>
    </w:p>
    <w:p>
      <w:pPr>
        <w:pStyle w:val="ListParagraph"/>
        <w:numPr>
          <w:ilvl w:val="0"/>
          <w:numId w:val="2"/>
        </w:numPr>
        <w:spacing w:after="50" w:before="50" w:line="300"/>
      </w:pPr>
      <w:r>
        <w:rPr>
          <w:rFonts w:ascii="Calibri" w:cs="Calibri" w:eastAsia="Calibri" w:hAnsi="Calibri"/>
          <w:b/>
          <w:bCs/>
          <w:color w:val="0B2545"/>
          <w:sz w:val="22"/>
          <w:szCs w:val="22"/>
        </w:rPr>
        <w:t xml:space="preserve">Y2 — </w:t>
      </w:r>
      <w:r>
        <w:rPr>
          <w:rFonts w:ascii="Calibri" w:cs="Calibri" w:eastAsia="Calibri" w:hAnsi="Calibri"/>
          <w:color w:val="1F2330"/>
          <w:sz w:val="22"/>
          <w:szCs w:val="22"/>
        </w:rPr>
        <w:t xml:space="preserve">"Klasik ML modelleri BIST günlük yön tahmininde Naive düzeyindedir; sinyal yetersizdir."</w:t>
      </w:r>
    </w:p>
    <w:p>
      <w:pPr>
        <w:pStyle w:val="ListParagraph"/>
        <w:numPr>
          <w:ilvl w:val="0"/>
          <w:numId w:val="2"/>
        </w:numPr>
        <w:spacing w:after="50" w:before="50" w:line="300"/>
      </w:pPr>
      <w:r>
        <w:rPr>
          <w:rFonts w:ascii="Calibri" w:cs="Calibri" w:eastAsia="Calibri" w:hAnsi="Calibri"/>
          <w:b/>
          <w:bCs/>
          <w:color w:val="0B2545"/>
          <w:sz w:val="22"/>
          <w:szCs w:val="22"/>
        </w:rPr>
        <w:t xml:space="preserve">Y4 — </w:t>
      </w:r>
      <w:r>
        <w:rPr>
          <w:rFonts w:ascii="Calibri" w:cs="Calibri" w:eastAsia="Calibri" w:hAnsi="Calibri"/>
          <w:color w:val="1F2330"/>
          <w:sz w:val="22"/>
          <w:szCs w:val="22"/>
        </w:rPr>
        <w:t xml:space="preserve">"BiLSTM + CW=balanced koşulunda model, sinyali sistematik olarak ters yönde kullanmaktadır."</w:t>
      </w:r>
    </w:p>
    <w:p>
      <w:pPr>
        <w:pStyle w:val="ListParagraph"/>
        <w:numPr>
          <w:ilvl w:val="0"/>
          <w:numId w:val="2"/>
        </w:numPr>
        <w:spacing w:after="50" w:before="50" w:line="300"/>
      </w:pPr>
      <w:r>
        <w:rPr>
          <w:rFonts w:ascii="Calibri" w:cs="Calibri" w:eastAsia="Calibri" w:hAnsi="Calibri"/>
          <w:b/>
          <w:bCs/>
          <w:color w:val="0B2545"/>
          <w:sz w:val="22"/>
          <w:szCs w:val="22"/>
        </w:rPr>
        <w:t xml:space="preserve">Y5 — </w:t>
      </w:r>
      <w:r>
        <w:rPr>
          <w:rFonts w:ascii="Calibri" w:cs="Calibri" w:eastAsia="Calibri" w:hAnsi="Calibri"/>
          <w:color w:val="1F2330"/>
          <w:sz w:val="22"/>
          <w:szCs w:val="22"/>
        </w:rPr>
        <w:t xml:space="preserve">"Anti-prediktif davranışın temel mekanizması makroekonomik değişkenlerdeki train→test korelasyon kırılmasıdır."</w:t>
      </w:r>
    </w:p>
    <w:p>
      <w:r>
        <w:br w:type="page"/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06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68900" w:val="clear"/>
            <w:tcMar>
              <w:top w:type="dxa" w:w="240"/>
              <w:left w:type="dxa" w:w="200"/>
              <w:bottom w:type="dxa" w:w="240"/>
              <w:right w:type="dxa" w:w="2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56"/>
                <w:szCs w:val="56"/>
              </w:rPr>
              <w:t xml:space="preserve">03</w:t>
            </w:r>
          </w:p>
        </w:tc>
        <w:tc>
          <w:tcPr>
            <w:tcW w:type="dxa" w:w="7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2545" w:val="clear"/>
            <w:tcMar>
              <w:top w:type="dxa" w:w="240"/>
              <w:left w:type="dxa" w:w="360"/>
              <w:bottom w:type="dxa" w:w="240"/>
              <w:right w:type="dxa" w:w="2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B68900"/>
                <w:spacing w:val="60"/>
                <w:sz w:val="16"/>
                <w:szCs w:val="16"/>
              </w:rPr>
              <w:t xml:space="preserve">BÖLÜM</w:t>
            </w:r>
          </w:p>
          <w:p>
            <w:pPr>
              <w:spacing w:after="0" w:before="40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36"/>
                <w:szCs w:val="36"/>
              </w:rPr>
              <w:t xml:space="preserve">Metodoloji</w:t>
            </w:r>
          </w:p>
        </w:tc>
      </w:tr>
    </w:tbl>
    <w:p>
      <w:pPr>
        <w:pStyle w:val="Heading1"/>
        <w:spacing w:after="200" w:before="0"/>
      </w:pPr>
      <w:r>
        <w:rPr>
          <w:rFonts w:ascii="Cambria" w:cs="Cambria" w:eastAsia="Cambria" w:hAnsi="Cambria"/>
          <w:color w:val="FFFFFF"/>
          <w:sz w:val="4"/>
          <w:szCs w:val="4"/>
        </w:rPr>
        <w:t xml:space="preserve">Metodoloji</w:t>
      </w:r>
    </w:p>
    <w:p>
      <w:pPr>
        <w:pStyle w:val="Heading2"/>
        <w:pBdr>
          <w:bottom w:val="single" w:color="B68900" w:sz="8" w:space="4"/>
        </w:pBdr>
        <w:spacing w:after="140" w:before="360"/>
      </w:pPr>
      <w:r>
        <w:rPr>
          <w:rFonts w:ascii="Cambria" w:cs="Cambria" w:eastAsia="Cambria" w:hAnsi="Cambria"/>
          <w:b/>
          <w:bCs/>
          <w:color w:val="0B2545"/>
          <w:sz w:val="28"/>
          <w:szCs w:val="28"/>
        </w:rPr>
        <w:t xml:space="preserve">3.1 Veri</w:t>
      </w:r>
    </w:p>
    <w:p>
      <w:pPr>
        <w:spacing w:after="80" w:before="80" w:line="320"/>
      </w:pPr>
      <w:r>
        <w:rPr>
          <w:rFonts w:ascii="Calibri" w:cs="Calibri" w:eastAsia="Calibri" w:hAnsi="Calibri"/>
          <w:color w:val="1F2330"/>
          <w:sz w:val="22"/>
          <w:szCs w:val="22"/>
        </w:rPr>
        <w:t xml:space="preserve">Analizlerde aşağıdaki varlık seti kullanılmıştır. Tüm CSV veri dosyaları salt okunurdur (Anayasa Kural 1).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900"/>
        <w:gridCol w:w="1300"/>
        <w:gridCol w:w="3706"/>
      </w:tblGrid>
      <w:tr>
        <w:trPr>
          <w:tblHeader/>
        </w:trPr>
        <w:tc>
          <w:tcPr>
            <w:tcW w:type="dxa" w:w="2400"/>
            <w:tcBorders>
              <w:top w:val="single" w:color="0B2545" w:sz="12"/>
              <w:left w:val="single" w:color="0B2545" w:sz="4"/>
              <w:bottom w:val="single" w:color="0B2545" w:sz="12"/>
              <w:right w:val="single" w:color="0B2545" w:sz="4"/>
            </w:tcBorders>
            <w:shd w:fill="0B2545" w:val="clear"/>
            <w:tcMar>
              <w:top w:type="dxa" w:w="130"/>
              <w:left w:type="dxa" w:w="160"/>
              <w:bottom w:type="dxa" w:w="13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0"/>
                <w:sz w:val="19"/>
                <w:szCs w:val="19"/>
              </w:rPr>
              <w:t xml:space="preserve">Varlık</w:t>
            </w:r>
          </w:p>
        </w:tc>
        <w:tc>
          <w:tcPr>
            <w:tcW w:type="dxa" w:w="1900"/>
            <w:tcBorders>
              <w:top w:val="single" w:color="0B2545" w:sz="12"/>
              <w:left w:val="single" w:color="0B2545" w:sz="4"/>
              <w:bottom w:val="single" w:color="0B2545" w:sz="12"/>
              <w:right w:val="single" w:color="0B2545" w:sz="4"/>
            </w:tcBorders>
            <w:shd w:fill="0B2545" w:val="clear"/>
            <w:tcMar>
              <w:top w:type="dxa" w:w="130"/>
              <w:left w:type="dxa" w:w="160"/>
              <w:bottom w:type="dxa" w:w="13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0"/>
                <w:sz w:val="19"/>
                <w:szCs w:val="19"/>
              </w:rPr>
              <w:t xml:space="preserve">Tür</w:t>
            </w:r>
          </w:p>
        </w:tc>
        <w:tc>
          <w:tcPr>
            <w:tcW w:type="dxa" w:w="1300"/>
            <w:tcBorders>
              <w:top w:val="single" w:color="0B2545" w:sz="12"/>
              <w:left w:val="single" w:color="0B2545" w:sz="4"/>
              <w:bottom w:val="single" w:color="0B2545" w:sz="12"/>
              <w:right w:val="single" w:color="0B2545" w:sz="4"/>
            </w:tcBorders>
            <w:shd w:fill="0B2545" w:val="clear"/>
            <w:tcMar>
              <w:top w:type="dxa" w:w="130"/>
              <w:left w:type="dxa" w:w="160"/>
              <w:bottom w:type="dxa" w:w="13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0"/>
                <w:sz w:val="19"/>
                <w:szCs w:val="19"/>
              </w:rPr>
              <w:t xml:space="preserve">Frekans</w:t>
            </w:r>
          </w:p>
        </w:tc>
        <w:tc>
          <w:tcPr>
            <w:tcW w:type="dxa" w:w="3706"/>
            <w:tcBorders>
              <w:top w:val="single" w:color="0B2545" w:sz="12"/>
              <w:left w:val="single" w:color="0B2545" w:sz="4"/>
              <w:bottom w:val="single" w:color="0B2545" w:sz="12"/>
              <w:right w:val="single" w:color="0B2545" w:sz="4"/>
            </w:tcBorders>
            <w:shd w:fill="0B2545" w:val="clear"/>
            <w:tcMar>
              <w:top w:type="dxa" w:w="130"/>
              <w:left w:type="dxa" w:w="160"/>
              <w:bottom w:type="dxa" w:w="13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0"/>
                <w:sz w:val="19"/>
                <w:szCs w:val="19"/>
              </w:rPr>
              <w:t xml:space="preserve">Dönem ve Özellikler</w:t>
            </w:r>
          </w:p>
        </w:tc>
      </w:tr>
      <w:tr>
        <w:tc>
          <w:tcPr>
            <w:tcW w:type="dxa" w:w="24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THYAO</w:t>
            </w:r>
          </w:p>
        </w:tc>
        <w:tc>
          <w:tcPr>
            <w:tcW w:type="dxa" w:w="19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BIST Hissesi</w:t>
            </w:r>
          </w:p>
        </w:tc>
        <w:tc>
          <w:tcPr>
            <w:tcW w:type="dxa" w:w="13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Günlük</w:t>
            </w:r>
          </w:p>
        </w:tc>
        <w:tc>
          <w:tcPr>
            <w:tcW w:type="dxa" w:w="3706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2018–2026 · 13 özellik (teknik + makro)</w:t>
            </w:r>
          </w:p>
        </w:tc>
      </w:tr>
      <w:tr>
        <w:tc>
          <w:tcPr>
            <w:tcW w:type="dxa" w:w="24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ALZ / AZS / AMZ</w:t>
            </w:r>
          </w:p>
        </w:tc>
        <w:tc>
          <w:tcPr>
            <w:tcW w:type="dxa" w:w="19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BES Emeklilik Fonu</w:t>
            </w:r>
          </w:p>
        </w:tc>
        <w:tc>
          <w:tcPr>
            <w:tcW w:type="dxa" w:w="13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Haftalık</w:t>
            </w:r>
          </w:p>
        </w:tc>
        <w:tc>
          <w:tcPr>
            <w:tcW w:type="dxa" w:w="3706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2021–2026 · ~262 hafta · 7 özellik</w:t>
            </w:r>
          </w:p>
        </w:tc>
      </w:tr>
      <w:tr>
        <w:tc>
          <w:tcPr>
            <w:tcW w:type="dxa" w:w="24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AKGRT, ANSGR, RAYSG, AGESA, TURSG</w:t>
            </w:r>
          </w:p>
        </w:tc>
        <w:tc>
          <w:tcPr>
            <w:tcW w:type="dxa" w:w="19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BIST Sigorta</w:t>
            </w:r>
          </w:p>
        </w:tc>
        <w:tc>
          <w:tcPr>
            <w:tcW w:type="dxa" w:w="13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Günlük</w:t>
            </w:r>
          </w:p>
        </w:tc>
        <w:tc>
          <w:tcPr>
            <w:tcW w:type="dxa" w:w="3706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Sektörel doğrulama (5 hisse)</w:t>
            </w:r>
          </w:p>
        </w:tc>
      </w:tr>
      <w:tr>
        <w:tc>
          <w:tcPr>
            <w:tcW w:type="dxa" w:w="24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KCHOL, SAHOL, DOHOL, ALARK, ENKAI</w:t>
            </w:r>
          </w:p>
        </w:tc>
        <w:tc>
          <w:tcPr>
            <w:tcW w:type="dxa" w:w="19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BIST Holding</w:t>
            </w:r>
          </w:p>
        </w:tc>
        <w:tc>
          <w:tcPr>
            <w:tcW w:type="dxa" w:w="13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Günlük</w:t>
            </w:r>
          </w:p>
        </w:tc>
        <w:tc>
          <w:tcPr>
            <w:tcW w:type="dxa" w:w="3706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Falsification testi (5 hisse)</w:t>
            </w:r>
          </w:p>
        </w:tc>
      </w:tr>
      <w:tr>
        <w:tc>
          <w:tcPr>
            <w:tcW w:type="dxa" w:w="24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GARAN, AKBNK</w:t>
            </w:r>
          </w:p>
        </w:tc>
        <w:tc>
          <w:tcPr>
            <w:tcW w:type="dxa" w:w="19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BIST Bankacılık</w:t>
            </w:r>
          </w:p>
        </w:tc>
        <w:tc>
          <w:tcPr>
            <w:tcW w:type="dxa" w:w="13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Günlük</w:t>
            </w:r>
          </w:p>
        </w:tc>
        <w:tc>
          <w:tcPr>
            <w:tcW w:type="dxa" w:w="3706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THYAO–GARAN kontrast analizi</w:t>
            </w:r>
          </w:p>
        </w:tc>
      </w:tr>
      <w:tr>
        <w:tc>
          <w:tcPr>
            <w:tcW w:type="dxa" w:w="24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AAPL</w:t>
            </w:r>
          </w:p>
        </w:tc>
        <w:tc>
          <w:tcPr>
            <w:tcW w:type="dxa" w:w="19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NASDAQ Hissesi</w:t>
            </w:r>
          </w:p>
        </w:tc>
        <w:tc>
          <w:tcPr>
            <w:tcW w:type="dxa" w:w="13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Günlük</w:t>
            </w:r>
          </w:p>
        </w:tc>
        <w:tc>
          <w:tcPr>
            <w:tcW w:type="dxa" w:w="3706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Gelişmiş piyasa negatif kontrol</w:t>
            </w:r>
          </w:p>
        </w:tc>
      </w:tr>
    </w:tbl>
    <w:p>
      <w:pPr>
        <w:spacing w:after="80" w:before="80" w:line="320"/>
      </w:pPr>
      <w:r>
        <w:rPr>
          <w:rFonts w:ascii="Calibri" w:cs="Calibri" w:eastAsia="Calibri" w:hAnsi="Calibri"/>
          <w:color w:val="1F2330"/>
          <w:sz w:val="22"/>
          <w:szCs w:val="22"/>
        </w:rPr>
        <w:t xml:space="preserve">Makroekonomik özellikler: USDTRY (döviz kuru), Brent Ham Petrol, TCMB Politika Faiz Oranı. Teknik göstergeler: SMA, EMA, RSI, MACD, Bollinger Bandı, Stokastik, ATR, OBV.</w:t>
      </w:r>
    </w:p>
    <w:p>
      <w:pPr>
        <w:pStyle w:val="Heading2"/>
        <w:pBdr>
          <w:bottom w:val="single" w:color="B68900" w:sz="8" w:space="4"/>
        </w:pBdr>
        <w:spacing w:after="140" w:before="360"/>
      </w:pPr>
      <w:r>
        <w:rPr>
          <w:rFonts w:ascii="Cambria" w:cs="Cambria" w:eastAsia="Cambria" w:hAnsi="Cambria"/>
          <w:b/>
          <w:bCs/>
          <w:color w:val="0B2545"/>
          <w:sz w:val="28"/>
          <w:szCs w:val="28"/>
        </w:rPr>
        <w:t xml:space="preserve">3.2 Temel Mimari: BiLSTM</w:t>
      </w:r>
    </w:p>
    <w:p>
      <w:pPr>
        <w:spacing w:after="80" w:before="80" w:line="320"/>
      </w:pPr>
      <w:r>
        <w:rPr>
          <w:rFonts w:ascii="Calibri" w:cs="Calibri" w:eastAsia="Calibri" w:hAnsi="Calibri"/>
          <w:color w:val="1F2330"/>
          <w:sz w:val="22"/>
          <w:szCs w:val="22"/>
        </w:rPr>
        <w:t xml:space="preserve">Ana mimari: BiLSTM(64 birim, bidirectional) + Dropout(0,4) + Dense(1, sigmoid). Sınıf ağırlıkları: class_weight = balanced. Kayıp: Binary Cross-Entropy + MC_Penalty (λ · |mean(ŷ) – 0,5|, λ ∈ {0,00; 0,05; 0,10}). λ’nın CW=balanced varlığında işlevsel olarak redundant olduğu deneysel olarak doğrulanmıştır.</w:t>
      </w:r>
    </w:p>
    <w:p>
      <w:pPr>
        <w:pStyle w:val="Heading2"/>
        <w:pBdr>
          <w:bottom w:val="single" w:color="B68900" w:sz="8" w:space="4"/>
        </w:pBdr>
        <w:spacing w:after="140" w:before="360"/>
      </w:pPr>
      <w:r>
        <w:rPr>
          <w:rFonts w:ascii="Cambria" w:cs="Cambria" w:eastAsia="Cambria" w:hAnsi="Cambria"/>
          <w:b/>
          <w:bCs/>
          <w:color w:val="0B2545"/>
          <w:sz w:val="28"/>
          <w:szCs w:val="28"/>
        </w:rPr>
        <w:t xml:space="preserve">3.3 Mimari Ablasyonu (7 Mimari)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100"/>
        <w:gridCol w:w="2400"/>
        <w:gridCol w:w="1606"/>
      </w:tblGrid>
      <w:tr>
        <w:trPr>
          <w:tblHeader/>
        </w:trPr>
        <w:tc>
          <w:tcPr>
            <w:tcW w:type="dxa" w:w="2400"/>
            <w:tcBorders>
              <w:top w:val="single" w:color="0B2545" w:sz="12"/>
              <w:left w:val="single" w:color="0B2545" w:sz="4"/>
              <w:bottom w:val="single" w:color="0B2545" w:sz="12"/>
              <w:right w:val="single" w:color="0B2545" w:sz="4"/>
            </w:tcBorders>
            <w:shd w:fill="0B2545" w:val="clear"/>
            <w:tcMar>
              <w:top w:type="dxa" w:w="130"/>
              <w:left w:type="dxa" w:w="160"/>
              <w:bottom w:type="dxa" w:w="13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0"/>
                <w:sz w:val="19"/>
                <w:szCs w:val="19"/>
              </w:rPr>
              <w:t xml:space="preserve">Mimari</w:t>
            </w:r>
          </w:p>
        </w:tc>
        <w:tc>
          <w:tcPr>
            <w:tcW w:type="dxa" w:w="1800"/>
            <w:tcBorders>
              <w:top w:val="single" w:color="0B2545" w:sz="12"/>
              <w:left w:val="single" w:color="0B2545" w:sz="4"/>
              <w:bottom w:val="single" w:color="0B2545" w:sz="12"/>
              <w:right w:val="single" w:color="0B2545" w:sz="4"/>
            </w:tcBorders>
            <w:shd w:fill="0B2545" w:val="clear"/>
            <w:tcMar>
              <w:top w:type="dxa" w:w="130"/>
              <w:left w:type="dxa" w:w="160"/>
              <w:bottom w:type="dxa" w:w="13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0"/>
                <w:sz w:val="19"/>
                <w:szCs w:val="19"/>
              </w:rPr>
              <w:t xml:space="preserve">Kategori</w:t>
            </w:r>
          </w:p>
        </w:tc>
        <w:tc>
          <w:tcPr>
            <w:tcW w:type="dxa" w:w="1100"/>
            <w:tcBorders>
              <w:top w:val="single" w:color="0B2545" w:sz="12"/>
              <w:left w:val="single" w:color="0B2545" w:sz="4"/>
              <w:bottom w:val="single" w:color="0B2545" w:sz="12"/>
              <w:right w:val="single" w:color="0B2545" w:sz="4"/>
            </w:tcBorders>
            <w:shd w:fill="0B2545" w:val="clear"/>
            <w:tcMar>
              <w:top w:type="dxa" w:w="130"/>
              <w:left w:type="dxa" w:w="160"/>
              <w:bottom w:type="dxa" w:w="13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0"/>
                <w:sz w:val="19"/>
                <w:szCs w:val="19"/>
              </w:rPr>
              <w:t xml:space="preserve">Konfig.</w:t>
            </w:r>
          </w:p>
        </w:tc>
        <w:tc>
          <w:tcPr>
            <w:tcW w:type="dxa" w:w="2400"/>
            <w:tcBorders>
              <w:top w:val="single" w:color="0B2545" w:sz="12"/>
              <w:left w:val="single" w:color="0B2545" w:sz="4"/>
              <w:bottom w:val="single" w:color="0B2545" w:sz="12"/>
              <w:right w:val="single" w:color="0B2545" w:sz="4"/>
            </w:tcBorders>
            <w:shd w:fill="0B2545" w:val="clear"/>
            <w:tcMar>
              <w:top w:type="dxa" w:w="130"/>
              <w:left w:type="dxa" w:w="160"/>
              <w:bottom w:type="dxa" w:w="13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0"/>
                <w:sz w:val="19"/>
                <w:szCs w:val="19"/>
              </w:rPr>
              <w:t xml:space="preserve">flip_beats_naive</w:t>
            </w:r>
          </w:p>
        </w:tc>
        <w:tc>
          <w:tcPr>
            <w:tcW w:type="dxa" w:w="1606"/>
            <w:tcBorders>
              <w:top w:val="single" w:color="0B2545" w:sz="12"/>
              <w:left w:val="single" w:color="0B2545" w:sz="4"/>
              <w:bottom w:val="single" w:color="0B2545" w:sz="12"/>
              <w:right w:val="single" w:color="0B2545" w:sz="4"/>
            </w:tcBorders>
            <w:shd w:fill="0B2545" w:val="clear"/>
            <w:tcMar>
              <w:top w:type="dxa" w:w="130"/>
              <w:left w:type="dxa" w:w="160"/>
              <w:bottom w:type="dxa" w:w="13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0"/>
                <w:sz w:val="19"/>
                <w:szCs w:val="19"/>
              </w:rPr>
              <w:t xml:space="preserve">mc_count</w:t>
            </w:r>
          </w:p>
        </w:tc>
      </w:tr>
      <w:tr>
        <w:tc>
          <w:tcPr>
            <w:tcW w:type="dxa" w:w="24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BiLSTM (v3b ref.)</w:t>
            </w:r>
          </w:p>
        </w:tc>
        <w:tc>
          <w:tcPr>
            <w:tcW w:type="dxa" w:w="18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Recurrent</w:t>
            </w:r>
          </w:p>
        </w:tc>
        <w:tc>
          <w:tcPr>
            <w:tcW w:type="dxa" w:w="11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15</w:t>
            </w:r>
          </w:p>
        </w:tc>
        <w:tc>
          <w:tcPr>
            <w:tcW w:type="dxa" w:w="24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15 / 15</w:t>
            </w:r>
          </w:p>
        </w:tc>
        <w:tc>
          <w:tcPr>
            <w:tcW w:type="dxa" w:w="1606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4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BiLSTM (v3c, CW=NULL)</w:t>
            </w:r>
          </w:p>
        </w:tc>
        <w:tc>
          <w:tcPr>
            <w:tcW w:type="dxa" w:w="18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Recurrent</w:t>
            </w:r>
          </w:p>
        </w:tc>
        <w:tc>
          <w:tcPr>
            <w:tcW w:type="dxa" w:w="11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15</w:t>
            </w:r>
          </w:p>
        </w:tc>
        <w:tc>
          <w:tcPr>
            <w:tcW w:type="dxa" w:w="24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15 / 15</w:t>
            </w:r>
          </w:p>
        </w:tc>
        <w:tc>
          <w:tcPr>
            <w:tcW w:type="dxa" w:w="1606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4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SimpleRNN</w:t>
            </w:r>
          </w:p>
        </w:tc>
        <w:tc>
          <w:tcPr>
            <w:tcW w:type="dxa" w:w="18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Recurrent</w:t>
            </w:r>
          </w:p>
        </w:tc>
        <w:tc>
          <w:tcPr>
            <w:tcW w:type="dxa" w:w="11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15</w:t>
            </w:r>
          </w:p>
        </w:tc>
        <w:tc>
          <w:tcPr>
            <w:tcW w:type="dxa" w:w="24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13 / 15</w:t>
            </w:r>
          </w:p>
        </w:tc>
        <w:tc>
          <w:tcPr>
            <w:tcW w:type="dxa" w:w="1606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4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GRU</w:t>
            </w:r>
          </w:p>
        </w:tc>
        <w:tc>
          <w:tcPr>
            <w:tcW w:type="dxa" w:w="18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Recurrent</w:t>
            </w:r>
          </w:p>
        </w:tc>
        <w:tc>
          <w:tcPr>
            <w:tcW w:type="dxa" w:w="11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15</w:t>
            </w:r>
          </w:p>
        </w:tc>
        <w:tc>
          <w:tcPr>
            <w:tcW w:type="dxa" w:w="24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15 / 15</w:t>
            </w:r>
          </w:p>
        </w:tc>
        <w:tc>
          <w:tcPr>
            <w:tcW w:type="dxa" w:w="1606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4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Conv1D</w:t>
            </w:r>
          </w:p>
        </w:tc>
        <w:tc>
          <w:tcPr>
            <w:tcW w:type="dxa" w:w="18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CNN</w:t>
            </w:r>
          </w:p>
        </w:tc>
        <w:tc>
          <w:tcPr>
            <w:tcW w:type="dxa" w:w="11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15</w:t>
            </w:r>
          </w:p>
        </w:tc>
        <w:tc>
          <w:tcPr>
            <w:tcW w:type="dxa" w:w="24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15 / 15</w:t>
            </w:r>
          </w:p>
        </w:tc>
        <w:tc>
          <w:tcPr>
            <w:tcW w:type="dxa" w:w="1606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4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TCN</w:t>
            </w:r>
          </w:p>
        </w:tc>
        <w:tc>
          <w:tcPr>
            <w:tcW w:type="dxa" w:w="18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CNN (dilated)</w:t>
            </w:r>
          </w:p>
        </w:tc>
        <w:tc>
          <w:tcPr>
            <w:tcW w:type="dxa" w:w="11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15</w:t>
            </w:r>
          </w:p>
        </w:tc>
        <w:tc>
          <w:tcPr>
            <w:tcW w:type="dxa" w:w="24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15 / 15</w:t>
            </w:r>
          </w:p>
        </w:tc>
        <w:tc>
          <w:tcPr>
            <w:tcW w:type="dxa" w:w="1606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4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Transformer (4 head)</w:t>
            </w:r>
          </w:p>
        </w:tc>
        <w:tc>
          <w:tcPr>
            <w:tcW w:type="dxa" w:w="18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Attention</w:t>
            </w:r>
          </w:p>
        </w:tc>
        <w:tc>
          <w:tcPr>
            <w:tcW w:type="dxa" w:w="11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15</w:t>
            </w:r>
          </w:p>
        </w:tc>
        <w:tc>
          <w:tcPr>
            <w:tcW w:type="dxa" w:w="24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15 / 15</w:t>
            </w:r>
          </w:p>
        </w:tc>
        <w:tc>
          <w:tcPr>
            <w:tcW w:type="dxa" w:w="1606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4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330"/>
                <w:sz w:val="22"/>
                <w:szCs w:val="22"/>
              </w:rPr>
              <w:t xml:space="preserve">TOPLAM</w:t>
            </w:r>
          </w:p>
        </w:tc>
        <w:tc>
          <w:tcPr>
            <w:tcW w:type="dxa" w:w="18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330"/>
                <w:sz w:val="22"/>
                <w:szCs w:val="22"/>
              </w:rPr>
              <w:t xml:space="preserve">7 mimari</w:t>
            </w:r>
          </w:p>
        </w:tc>
        <w:tc>
          <w:tcPr>
            <w:tcW w:type="dxa" w:w="11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330"/>
                <w:sz w:val="22"/>
                <w:szCs w:val="22"/>
              </w:rPr>
              <w:t xml:space="preserve">105</w:t>
            </w:r>
          </w:p>
        </w:tc>
        <w:tc>
          <w:tcPr>
            <w:tcW w:type="dxa" w:w="24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A03A2C"/>
                <w:sz w:val="22"/>
                <w:szCs w:val="22"/>
              </w:rPr>
              <w:t xml:space="preserve">103 / 105   (+ window 15/15 → 118/120)</w:t>
            </w:r>
          </w:p>
        </w:tc>
        <w:tc>
          <w:tcPr>
            <w:tcW w:type="dxa" w:w="1606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6A3E"/>
                <w:sz w:val="22"/>
                <w:szCs w:val="22"/>
              </w:rPr>
              <w:t xml:space="preserve">0 / 105</w:t>
            </w:r>
          </w:p>
        </w:tc>
      </w:tr>
    </w:tbl>
    <w:p>
      <w:pPr>
        <w:spacing w:after="80" w:before="80" w:line="320"/>
      </w:pPr>
      <w:r>
        <w:rPr>
          <w:rFonts w:ascii="Calibri" w:cs="Calibri" w:eastAsia="Calibri" w:hAnsi="Calibri"/>
          <w:color w:val="1F2330"/>
          <w:sz w:val="22"/>
          <w:szCs w:val="22"/>
        </w:rPr>
        <w:t xml:space="preserve">Toplam ablasyon: 118/120 konfigürasyon flip_Acc &gt; Naive_Acc. McNemar testi (mcaware_multi_arch_McNEMAR.csv): mimariler arasında YÖN farkı yoktur, derece farkı vardır. Bulgu bu nedenle BiLSTM artefaktı değil, veri özelliğidir.</w:t>
      </w:r>
    </w:p>
    <w:p>
      <w:pPr>
        <w:spacing w:after="60" w:before="280"/>
        <w:jc w:val="center"/>
      </w:pPr>
      <w:r>
        <w:drawing>
          <wp:inline distT="0" distB="0" distL="0" distR="0">
            <wp:extent cx="4953000" cy="2952750"/>
            <wp:effectExtent t="0" r="0" b="0" l="0"/>
            <wp:docPr id="1" name="06_Mimari_Kiyaslama.png" descr="Şekil 1. 6 mimari × 15 konfigürasyon flip_Acc karşılaştırması (Kaynak: CROSS_ARCH_SUMMARY)" title="Şekil 1. 6 mimari × 15 konfigürasyon flip_Acc karşılaştırması (Kaynak: CROSS_ARCH_SUMMARY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top w:val="single" w:color="B68900" w:sz="6" w:space="4"/>
        </w:pBdr>
        <w:spacing w:after="280" w:before="0"/>
        <w:jc w:val="center"/>
      </w:pPr>
      <w:r>
        <w:rPr>
          <w:rFonts w:ascii="Cambria" w:cs="Cambria" w:eastAsia="Cambria" w:hAnsi="Cambria"/>
          <w:i/>
          <w:iCs/>
          <w:color w:val="5B6273"/>
          <w:sz w:val="18"/>
          <w:szCs w:val="18"/>
        </w:rPr>
        <w:t xml:space="preserve">Şekil 1. 6 mimari × 15 konfigürasyon flip_Acc karşılaştırması (Kaynak: CROSS_ARCH_SUMMARY)</w:t>
      </w:r>
    </w:p>
    <w:p>
      <w:pPr>
        <w:pStyle w:val="Heading2"/>
        <w:pBdr>
          <w:bottom w:val="single" w:color="B68900" w:sz="8" w:space="4"/>
        </w:pBdr>
        <w:spacing w:after="140" w:before="360"/>
      </w:pPr>
      <w:r>
        <w:rPr>
          <w:rFonts w:ascii="Cambria" w:cs="Cambria" w:eastAsia="Cambria" w:hAnsi="Cambria"/>
          <w:b/>
          <w:bCs/>
          <w:color w:val="0B2545"/>
          <w:sz w:val="28"/>
          <w:szCs w:val="28"/>
        </w:rPr>
        <w:t xml:space="preserve">3.4 Teşhis Yöntemleri</w:t>
      </w:r>
    </w:p>
    <w:p>
      <w:pPr>
        <w:pStyle w:val="ListParagraph"/>
        <w:numPr>
          <w:ilvl w:val="0"/>
          <w:numId w:val="2"/>
        </w:numPr>
        <w:spacing w:after="50" w:before="50" w:line="300"/>
      </w:pPr>
      <w:r>
        <w:rPr>
          <w:rFonts w:ascii="Calibri" w:cs="Calibri" w:eastAsia="Calibri" w:hAnsi="Calibri"/>
          <w:color w:val="1F2330"/>
          <w:sz w:val="22"/>
          <w:szCs w:val="22"/>
        </w:rPr>
        <w:t xml:space="preserve">Etiket cross-check (ADIM I.3): off-by-one / ters etiket bug elendi.</w:t>
      </w:r>
    </w:p>
    <w:p>
      <w:pPr>
        <w:pStyle w:val="ListParagraph"/>
        <w:numPr>
          <w:ilvl w:val="0"/>
          <w:numId w:val="2"/>
        </w:numPr>
        <w:spacing w:after="50" w:before="50" w:line="300"/>
      </w:pPr>
      <w:r>
        <w:rPr>
          <w:rFonts w:ascii="Calibri" w:cs="Calibri" w:eastAsia="Calibri" w:hAnsi="Calibri"/>
          <w:color w:val="1F2330"/>
          <w:sz w:val="22"/>
          <w:szCs w:val="22"/>
        </w:rPr>
        <w:t xml:space="preserve">Pencereleme ablasyonu (ADIM I.4): v3 vs v3b (feats[t-2:t-1] vs feats[t-1:t]) — lag tuzağı elendi.</w:t>
      </w:r>
    </w:p>
    <w:p>
      <w:pPr>
        <w:pStyle w:val="ListParagraph"/>
        <w:numPr>
          <w:ilvl w:val="0"/>
          <w:numId w:val="2"/>
        </w:numPr>
        <w:spacing w:after="50" w:before="50" w:line="300"/>
      </w:pPr>
      <w:r>
        <w:rPr>
          <w:rFonts w:ascii="Calibri" w:cs="Calibri" w:eastAsia="Calibri" w:hAnsi="Calibri"/>
          <w:color w:val="1F2330"/>
          <w:sz w:val="22"/>
          <w:szCs w:val="22"/>
        </w:rPr>
        <w:t xml:space="preserve">MI kalibrasyonu (ADIM I.5): 200 permütasyon + bootstrap CI — full feature MI tamamen histogram bias (6/6 BIAS_ONLY).</w:t>
      </w:r>
    </w:p>
    <w:p>
      <w:pPr>
        <w:pStyle w:val="ListParagraph"/>
        <w:numPr>
          <w:ilvl w:val="0"/>
          <w:numId w:val="2"/>
        </w:numPr>
        <w:spacing w:after="50" w:before="50" w:line="300"/>
      </w:pPr>
      <w:r>
        <w:rPr>
          <w:rFonts w:ascii="Calibri" w:cs="Calibri" w:eastAsia="Calibri" w:hAnsi="Calibri"/>
          <w:color w:val="1F2330"/>
          <w:sz w:val="22"/>
          <w:szCs w:val="22"/>
        </w:rPr>
        <w:t xml:space="preserve">CW ablasyonu (ADIM I.7): CW=NULL’da da 15/15 anti-prediktif; CW gradient inversiyonu hipotezi reddedildi.</w:t>
      </w:r>
    </w:p>
    <w:p>
      <w:pPr>
        <w:pStyle w:val="ListParagraph"/>
        <w:numPr>
          <w:ilvl w:val="0"/>
          <w:numId w:val="2"/>
        </w:numPr>
        <w:spacing w:after="50" w:before="50" w:line="300"/>
      </w:pPr>
      <w:r>
        <w:rPr>
          <w:rFonts w:ascii="Calibri" w:cs="Calibri" w:eastAsia="Calibri" w:hAnsi="Calibri"/>
          <w:color w:val="1F2330"/>
          <w:sz w:val="22"/>
          <w:szCs w:val="22"/>
        </w:rPr>
        <w:t xml:space="preserve">Feature ablasyonu (ADIM I.11): full_13 vs no_ext_10 — dış makro değişkenler etkinin kaynağı.</w:t>
      </w:r>
    </w:p>
    <w:p>
      <w:pPr>
        <w:pStyle w:val="ListParagraph"/>
        <w:numPr>
          <w:ilvl w:val="0"/>
          <w:numId w:val="2"/>
        </w:numPr>
        <w:spacing w:after="50" w:before="50" w:line="300"/>
      </w:pPr>
      <w:r>
        <w:rPr>
          <w:rFonts w:ascii="Calibri" w:cs="Calibri" w:eastAsia="Calibri" w:hAnsi="Calibri"/>
          <w:color w:val="1F2330"/>
          <w:sz w:val="22"/>
          <w:szCs w:val="22"/>
        </w:rPr>
        <w:t xml:space="preserve">IN_LEN ablasyonu (ADIM I.20): IN_LEN = 2 → 8/15; IN_LEN = 5, 10 → 0/15.</w:t>
      </w:r>
    </w:p>
    <w:p>
      <w:pPr>
        <w:pStyle w:val="ListParagraph"/>
        <w:numPr>
          <w:ilvl w:val="0"/>
          <w:numId w:val="2"/>
        </w:numPr>
        <w:spacing w:after="50" w:before="50" w:line="300"/>
      </w:pPr>
      <w:r>
        <w:rPr>
          <w:rFonts w:ascii="Calibri" w:cs="Calibri" w:eastAsia="Calibri" w:hAnsi="Calibri"/>
          <w:color w:val="1F2330"/>
          <w:sz w:val="22"/>
          <w:szCs w:val="22"/>
        </w:rPr>
        <w:t xml:space="preserve">Walk-Forward × 6 mimari (ADIM I.21): 42 koşu; sıkı anti-pred 8/42 (%19); Fold 2 (Ağu 2018 kur krizi) kümeli.</w:t>
      </w:r>
    </w:p>
    <w:p>
      <w:r>
        <w:br w:type="page"/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06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68900" w:val="clear"/>
            <w:tcMar>
              <w:top w:type="dxa" w:w="240"/>
              <w:left w:type="dxa" w:w="200"/>
              <w:bottom w:type="dxa" w:w="240"/>
              <w:right w:type="dxa" w:w="2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56"/>
                <w:szCs w:val="56"/>
              </w:rPr>
              <w:t xml:space="preserve">04</w:t>
            </w:r>
          </w:p>
        </w:tc>
        <w:tc>
          <w:tcPr>
            <w:tcW w:type="dxa" w:w="7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2545" w:val="clear"/>
            <w:tcMar>
              <w:top w:type="dxa" w:w="240"/>
              <w:left w:type="dxa" w:w="360"/>
              <w:bottom w:type="dxa" w:w="240"/>
              <w:right w:type="dxa" w:w="2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B68900"/>
                <w:spacing w:val="60"/>
                <w:sz w:val="16"/>
                <w:szCs w:val="16"/>
              </w:rPr>
              <w:t xml:space="preserve">BÖLÜM</w:t>
            </w:r>
          </w:p>
          <w:p>
            <w:pPr>
              <w:spacing w:after="0" w:before="40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36"/>
                <w:szCs w:val="36"/>
              </w:rPr>
              <w:t xml:space="preserve">Bulgular</w:t>
            </w:r>
          </w:p>
        </w:tc>
      </w:tr>
    </w:tbl>
    <w:p>
      <w:pPr>
        <w:pStyle w:val="Heading1"/>
        <w:spacing w:after="200" w:before="0"/>
      </w:pPr>
      <w:r>
        <w:rPr>
          <w:rFonts w:ascii="Cambria" w:cs="Cambria" w:eastAsia="Cambria" w:hAnsi="Cambria"/>
          <w:color w:val="FFFFFF"/>
          <w:sz w:val="4"/>
          <w:szCs w:val="4"/>
        </w:rPr>
        <w:t xml:space="preserve">Bulgular</w:t>
      </w:r>
    </w:p>
    <w:p>
      <w:pPr>
        <w:pStyle w:val="Heading2"/>
        <w:pBdr>
          <w:bottom w:val="single" w:color="B68900" w:sz="8" w:space="4"/>
        </w:pBdr>
        <w:spacing w:after="140" w:before="360"/>
      </w:pPr>
      <w:r>
        <w:rPr>
          <w:rFonts w:ascii="Cambria" w:cs="Cambria" w:eastAsia="Cambria" w:hAnsi="Cambria"/>
          <w:b/>
          <w:bCs/>
          <w:color w:val="0B2545"/>
          <w:sz w:val="28"/>
          <w:szCs w:val="28"/>
        </w:rPr>
        <w:t xml:space="preserve">4.1 MC Tuzağı Çözümü</w:t>
      </w:r>
    </w:p>
    <w:p>
      <w:pPr>
        <w:spacing w:after="80" w:before="80" w:line="320"/>
      </w:pPr>
      <w:r>
        <w:rPr>
          <w:rFonts w:ascii="Calibri" w:cs="Calibri" w:eastAsia="Calibri" w:hAnsi="Calibri"/>
          <w:color w:val="1F2330"/>
          <w:sz w:val="22"/>
          <w:szCs w:val="22"/>
        </w:rPr>
        <w:t xml:space="preserve">BiLSTM + CW=balanced kombinasyonu MC tuzağını tamamen ortadan kaldırmıştır. CROSS_ARCH_SUMMARY tüm 7 mimari konfigürasyonu için mc_count = 0; 105/105 koşuda ne tam-Up ne tam-Down dejenerasyonu görülmemiştir. Focal Loss CW=balanced ile birleştiğinde MC korumasını bozar (v2.b-fix, MC = 5/15); MC_Penalty (λ) ise CW=balanced varlığında işlevsel olarak işlevsizdir.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100"/>
        <w:gridCol w:w="1000"/>
        <w:gridCol w:w="1000"/>
        <w:gridCol w:w="1200"/>
        <w:gridCol w:w="2306"/>
      </w:tblGrid>
      <w:tr>
        <w:trPr>
          <w:tblHeader/>
        </w:trPr>
        <w:tc>
          <w:tcPr>
            <w:tcW w:type="dxa" w:w="2700"/>
            <w:tcBorders>
              <w:top w:val="single" w:color="0B2545" w:sz="12"/>
              <w:left w:val="single" w:color="0B2545" w:sz="4"/>
              <w:bottom w:val="single" w:color="0B2545" w:sz="12"/>
              <w:right w:val="single" w:color="0B2545" w:sz="4"/>
            </w:tcBorders>
            <w:shd w:fill="0B2545" w:val="clear"/>
            <w:tcMar>
              <w:top w:type="dxa" w:w="130"/>
              <w:left w:type="dxa" w:w="160"/>
              <w:bottom w:type="dxa" w:w="13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0"/>
                <w:sz w:val="19"/>
                <w:szCs w:val="19"/>
              </w:rPr>
              <w:t xml:space="preserve">Versiyon</w:t>
            </w:r>
          </w:p>
        </w:tc>
        <w:tc>
          <w:tcPr>
            <w:tcW w:type="dxa" w:w="1100"/>
            <w:tcBorders>
              <w:top w:val="single" w:color="0B2545" w:sz="12"/>
              <w:left w:val="single" w:color="0B2545" w:sz="4"/>
              <w:bottom w:val="single" w:color="0B2545" w:sz="12"/>
              <w:right w:val="single" w:color="0B2545" w:sz="4"/>
            </w:tcBorders>
            <w:shd w:fill="0B2545" w:val="clear"/>
            <w:tcMar>
              <w:top w:type="dxa" w:w="130"/>
              <w:left w:type="dxa" w:w="160"/>
              <w:bottom w:type="dxa" w:w="13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0"/>
                <w:sz w:val="19"/>
                <w:szCs w:val="19"/>
              </w:rPr>
              <w:t xml:space="preserve">Varlık</w:t>
            </w:r>
          </w:p>
        </w:tc>
        <w:tc>
          <w:tcPr>
            <w:tcW w:type="dxa" w:w="1000"/>
            <w:tcBorders>
              <w:top w:val="single" w:color="0B2545" w:sz="12"/>
              <w:left w:val="single" w:color="0B2545" w:sz="4"/>
              <w:bottom w:val="single" w:color="0B2545" w:sz="12"/>
              <w:right w:val="single" w:color="0B2545" w:sz="4"/>
            </w:tcBorders>
            <w:shd w:fill="0B2545" w:val="clear"/>
            <w:tcMar>
              <w:top w:type="dxa" w:w="130"/>
              <w:left w:type="dxa" w:w="160"/>
              <w:bottom w:type="dxa" w:w="13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0"/>
                <w:sz w:val="19"/>
                <w:szCs w:val="19"/>
              </w:rPr>
              <w:t xml:space="preserve">Acc_0.5</w:t>
            </w:r>
          </w:p>
        </w:tc>
        <w:tc>
          <w:tcPr>
            <w:tcW w:type="dxa" w:w="1000"/>
            <w:tcBorders>
              <w:top w:val="single" w:color="0B2545" w:sz="12"/>
              <w:left w:val="single" w:color="0B2545" w:sz="4"/>
              <w:bottom w:val="single" w:color="0B2545" w:sz="12"/>
              <w:right w:val="single" w:color="0B2545" w:sz="4"/>
            </w:tcBorders>
            <w:shd w:fill="0B2545" w:val="clear"/>
            <w:tcMar>
              <w:top w:type="dxa" w:w="130"/>
              <w:left w:type="dxa" w:w="160"/>
              <w:bottom w:type="dxa" w:w="13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0"/>
                <w:sz w:val="19"/>
                <w:szCs w:val="19"/>
              </w:rPr>
              <w:t xml:space="preserve">Naive</w:t>
            </w:r>
          </w:p>
        </w:tc>
        <w:tc>
          <w:tcPr>
            <w:tcW w:type="dxa" w:w="1200"/>
            <w:tcBorders>
              <w:top w:val="single" w:color="0B2545" w:sz="12"/>
              <w:left w:val="single" w:color="0B2545" w:sz="4"/>
              <w:bottom w:val="single" w:color="0B2545" w:sz="12"/>
              <w:right w:val="single" w:color="0B2545" w:sz="4"/>
            </w:tcBorders>
            <w:shd w:fill="0B2545" w:val="clear"/>
            <w:tcMar>
              <w:top w:type="dxa" w:w="130"/>
              <w:left w:type="dxa" w:w="160"/>
              <w:bottom w:type="dxa" w:w="13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0"/>
                <w:sz w:val="19"/>
                <w:szCs w:val="19"/>
              </w:rPr>
              <w:t xml:space="preserve">MC Sayısı</w:t>
            </w:r>
          </w:p>
        </w:tc>
        <w:tc>
          <w:tcPr>
            <w:tcW w:type="dxa" w:w="2306"/>
            <w:tcBorders>
              <w:top w:val="single" w:color="0B2545" w:sz="12"/>
              <w:left w:val="single" w:color="0B2545" w:sz="4"/>
              <w:bottom w:val="single" w:color="0B2545" w:sz="12"/>
              <w:right w:val="single" w:color="0B2545" w:sz="4"/>
            </w:tcBorders>
            <w:shd w:fill="0B2545" w:val="clear"/>
            <w:tcMar>
              <w:top w:type="dxa" w:w="130"/>
              <w:left w:type="dxa" w:w="160"/>
              <w:bottom w:type="dxa" w:w="13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0"/>
                <w:sz w:val="19"/>
                <w:szCs w:val="19"/>
              </w:rPr>
              <w:t xml:space="preserve">Yorum</w:t>
            </w:r>
          </w:p>
        </w:tc>
      </w:tr>
      <w:tr>
        <w:tc>
          <w:tcPr>
            <w:tcW w:type="dxa" w:w="27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BiLSTM v1.1</w:t>
            </w:r>
          </w:p>
        </w:tc>
        <w:tc>
          <w:tcPr>
            <w:tcW w:type="dxa" w:w="11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AMZ</w:t>
            </w:r>
          </w:p>
        </w:tc>
        <w:tc>
          <w:tcPr>
            <w:tcW w:type="dxa" w:w="10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0,549</w:t>
            </w:r>
          </w:p>
        </w:tc>
        <w:tc>
          <w:tcPr>
            <w:tcW w:type="dxa" w:w="10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0,800</w:t>
            </w:r>
          </w:p>
        </w:tc>
        <w:tc>
          <w:tcPr>
            <w:tcW w:type="dxa" w:w="12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0 / 20</w:t>
            </w:r>
          </w:p>
        </w:tc>
        <w:tc>
          <w:tcPr>
            <w:tcW w:type="dxa" w:w="2306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MC tetiklenmedi</w:t>
            </w:r>
          </w:p>
        </w:tc>
      </w:tr>
      <w:tr>
        <w:tc>
          <w:tcPr>
            <w:tcW w:type="dxa" w:w="27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BiLSTM v2.b (Focal, CW=NULL)</w:t>
            </w:r>
          </w:p>
        </w:tc>
        <w:tc>
          <w:tcPr>
            <w:tcW w:type="dxa" w:w="11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AMZ</w:t>
            </w:r>
          </w:p>
        </w:tc>
        <w:tc>
          <w:tcPr>
            <w:tcW w:type="dxa" w:w="10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0,457</w:t>
            </w:r>
          </w:p>
        </w:tc>
        <w:tc>
          <w:tcPr>
            <w:tcW w:type="dxa" w:w="10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0,800</w:t>
            </w:r>
          </w:p>
        </w:tc>
        <w:tc>
          <w:tcPr>
            <w:tcW w:type="dxa" w:w="12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0 / 15</w:t>
            </w:r>
          </w:p>
        </w:tc>
        <w:tc>
          <w:tcPr>
            <w:tcW w:type="dxa" w:w="2306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Focal tek başına güvenli</w:t>
            </w:r>
          </w:p>
        </w:tc>
      </w:tr>
      <w:tr>
        <w:tc>
          <w:tcPr>
            <w:tcW w:type="dxa" w:w="27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F2330"/>
                <w:sz w:val="22"/>
                <w:szCs w:val="22"/>
              </w:rPr>
              <w:t xml:space="preserve">BiLSTM v2.b-fix (Focal + CW)</w:t>
            </w:r>
          </w:p>
        </w:tc>
        <w:tc>
          <w:tcPr>
            <w:tcW w:type="dxa" w:w="11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2"/>
                <w:szCs w:val="22"/>
              </w:rPr>
              <w:t xml:space="preserve">AMZ</w:t>
            </w:r>
          </w:p>
        </w:tc>
        <w:tc>
          <w:tcPr>
            <w:tcW w:type="dxa" w:w="10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330"/>
                <w:sz w:val="22"/>
                <w:szCs w:val="22"/>
              </w:rPr>
              <w:t xml:space="preserve">0,800</w:t>
            </w:r>
          </w:p>
        </w:tc>
        <w:tc>
          <w:tcPr>
            <w:tcW w:type="dxa" w:w="10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2"/>
                <w:szCs w:val="22"/>
              </w:rPr>
              <w:t xml:space="preserve">0,800</w:t>
            </w:r>
          </w:p>
        </w:tc>
        <w:tc>
          <w:tcPr>
            <w:tcW w:type="dxa" w:w="12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A03A2C"/>
                <w:sz w:val="22"/>
                <w:szCs w:val="22"/>
              </w:rPr>
              <w:t xml:space="preserve">5 / 15</w:t>
            </w:r>
          </w:p>
        </w:tc>
        <w:tc>
          <w:tcPr>
            <w:tcW w:type="dxa" w:w="2306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A03A2C"/>
                <w:sz w:val="22"/>
                <w:szCs w:val="22"/>
              </w:rPr>
              <w:t xml:space="preserve">Kombinasyon MC’yi geri getirdi</w:t>
            </w:r>
          </w:p>
        </w:tc>
      </w:tr>
      <w:tr>
        <w:tc>
          <w:tcPr>
            <w:tcW w:type="dxa" w:w="27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BiLSTM v3 (orijinal pencere)</w:t>
            </w:r>
          </w:p>
        </w:tc>
        <w:tc>
          <w:tcPr>
            <w:tcW w:type="dxa" w:w="11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THYAO</w:t>
            </w:r>
          </w:p>
        </w:tc>
        <w:tc>
          <w:tcPr>
            <w:tcW w:type="dxa" w:w="10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0,418</w:t>
            </w:r>
          </w:p>
        </w:tc>
        <w:tc>
          <w:tcPr>
            <w:tcW w:type="dxa" w:w="10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0,518</w:t>
            </w:r>
          </w:p>
        </w:tc>
        <w:tc>
          <w:tcPr>
            <w:tcW w:type="dxa" w:w="12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0 / 15</w:t>
            </w:r>
          </w:p>
        </w:tc>
        <w:tc>
          <w:tcPr>
            <w:tcW w:type="dxa" w:w="2306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MC = 0</w:t>
            </w:r>
          </w:p>
        </w:tc>
      </w:tr>
      <w:tr>
        <w:tc>
          <w:tcPr>
            <w:tcW w:type="dxa" w:w="27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BiLSTM v3b (düzelt. pencere)</w:t>
            </w:r>
          </w:p>
        </w:tc>
        <w:tc>
          <w:tcPr>
            <w:tcW w:type="dxa" w:w="11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THYAO</w:t>
            </w:r>
          </w:p>
        </w:tc>
        <w:tc>
          <w:tcPr>
            <w:tcW w:type="dxa" w:w="10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0,396</w:t>
            </w:r>
          </w:p>
        </w:tc>
        <w:tc>
          <w:tcPr>
            <w:tcW w:type="dxa" w:w="10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0,518</w:t>
            </w:r>
          </w:p>
        </w:tc>
        <w:tc>
          <w:tcPr>
            <w:tcW w:type="dxa" w:w="12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0 / 15</w:t>
            </w:r>
          </w:p>
        </w:tc>
        <w:tc>
          <w:tcPr>
            <w:tcW w:type="dxa" w:w="2306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Ana referans</w:t>
            </w:r>
          </w:p>
        </w:tc>
      </w:tr>
      <w:tr>
        <w:tc>
          <w:tcPr>
            <w:tcW w:type="dxa" w:w="27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BiLSTM v3c (CW=NULL)</w:t>
            </w:r>
          </w:p>
        </w:tc>
        <w:tc>
          <w:tcPr>
            <w:tcW w:type="dxa" w:w="11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THYAO</w:t>
            </w:r>
          </w:p>
        </w:tc>
        <w:tc>
          <w:tcPr>
            <w:tcW w:type="dxa" w:w="10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0,436</w:t>
            </w:r>
          </w:p>
        </w:tc>
        <w:tc>
          <w:tcPr>
            <w:tcW w:type="dxa" w:w="10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0,518</w:t>
            </w:r>
          </w:p>
        </w:tc>
        <w:tc>
          <w:tcPr>
            <w:tcW w:type="dxa" w:w="12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0 / 15</w:t>
            </w:r>
          </w:p>
        </w:tc>
        <w:tc>
          <w:tcPr>
            <w:tcW w:type="dxa" w:w="2306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CW-bağımsız doğrulama</w:t>
            </w:r>
          </w:p>
        </w:tc>
      </w:tr>
      <w:tr>
        <w:tc>
          <w:tcPr>
            <w:tcW w:type="dxa" w:w="27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BiLSTM v6 (Attention)</w:t>
            </w:r>
          </w:p>
        </w:tc>
        <w:tc>
          <w:tcPr>
            <w:tcW w:type="dxa" w:w="11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THYAO</w:t>
            </w:r>
          </w:p>
        </w:tc>
        <w:tc>
          <w:tcPr>
            <w:tcW w:type="dxa" w:w="10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0,443</w:t>
            </w:r>
          </w:p>
        </w:tc>
        <w:tc>
          <w:tcPr>
            <w:tcW w:type="dxa" w:w="10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0,518</w:t>
            </w:r>
          </w:p>
        </w:tc>
        <w:tc>
          <w:tcPr>
            <w:tcW w:type="dxa" w:w="12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0 / 15</w:t>
            </w:r>
          </w:p>
        </w:tc>
        <w:tc>
          <w:tcPr>
            <w:tcW w:type="dxa" w:w="2306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Attention dahi MC = 0</w:t>
            </w:r>
          </w:p>
        </w:tc>
      </w:tr>
    </w:tbl>
    <w:p>
      <w:pPr>
        <w:spacing w:after="60" w:before="280"/>
        <w:jc w:val="center"/>
      </w:pPr>
      <w:r>
        <w:drawing>
          <wp:inline distT="0" distB="0" distL="0" distR="0">
            <wp:extent cx="4953000" cy="2952750"/>
            <wp:effectExtent t="0" r="0" b="0" l="0"/>
            <wp:docPr id="1" name="05_MC_Tuzagi_Cozumu.png" descr="Şekil 2. v2.b-fix ile yeniden tetiklenen MC tuzağı vs v3+ ailesinin sıfır MC çözümü" title="Şekil 2. v2.b-fix ile yeniden tetiklenen MC tuzağı vs v3+ ailesinin sıfır MC çözüm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top w:val="single" w:color="B68900" w:sz="6" w:space="4"/>
        </w:pBdr>
        <w:spacing w:after="280" w:before="0"/>
        <w:jc w:val="center"/>
      </w:pPr>
      <w:r>
        <w:rPr>
          <w:rFonts w:ascii="Cambria" w:cs="Cambria" w:eastAsia="Cambria" w:hAnsi="Cambria"/>
          <w:i/>
          <w:iCs/>
          <w:color w:val="5B6273"/>
          <w:sz w:val="18"/>
          <w:szCs w:val="18"/>
        </w:rPr>
        <w:t xml:space="preserve">Şekil 2. v2.b-fix ile yeniden tetiklenen MC tuzağı vs v3+ ailesinin sıfır MC çözümü</w:t>
      </w:r>
    </w:p>
    <w:p>
      <w:pPr>
        <w:pStyle w:val="Heading2"/>
        <w:pBdr>
          <w:bottom w:val="single" w:color="B68900" w:sz="8" w:space="4"/>
        </w:pBdr>
        <w:spacing w:after="140" w:before="360"/>
      </w:pPr>
      <w:r>
        <w:rPr>
          <w:rFonts w:ascii="Cambria" w:cs="Cambria" w:eastAsia="Cambria" w:hAnsi="Cambria"/>
          <w:b/>
          <w:bCs/>
          <w:color w:val="0B2545"/>
          <w:sz w:val="28"/>
          <w:szCs w:val="28"/>
        </w:rPr>
        <w:t xml:space="preserve">4.2 Anti-Prediktif Davranış (THYAO)</w:t>
      </w:r>
    </w:p>
    <w:p>
      <w:pPr>
        <w:spacing w:after="80" w:before="80" w:line="320"/>
      </w:pPr>
      <w:r>
        <w:rPr>
          <w:rFonts w:ascii="Calibri" w:cs="Calibri" w:eastAsia="Calibri" w:hAnsi="Calibri"/>
          <w:color w:val="1F2330"/>
          <w:sz w:val="22"/>
          <w:szCs w:val="22"/>
        </w:rPr>
        <w:t xml:space="preserve">THYAO günlük verisinde BiLSTM tahminleri gerçeğin sistematik tersine korelelidir. v3 (orijinal pencere), v3b (düzeltilmiş pencere) ve v3c (CW=NULL) birlikte değerlendirildiğinde 45/45 konfigürasyonda flip_Acc &gt; Naive. Mimari ablasyonu (6 ek mimari × 15 + window referansları) genişletilmiş örneklemde 118/120 (%98) ve mc_count = 0’dır.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300"/>
        <w:gridCol w:w="1300"/>
        <w:gridCol w:w="1100"/>
        <w:gridCol w:w="2606"/>
      </w:tblGrid>
      <w:tr>
        <w:trPr>
          <w:tblHeader/>
        </w:trPr>
        <w:tc>
          <w:tcPr>
            <w:tcW w:type="dxa" w:w="3000"/>
            <w:tcBorders>
              <w:top w:val="single" w:color="0B2545" w:sz="12"/>
              <w:left w:val="single" w:color="0B2545" w:sz="4"/>
              <w:bottom w:val="single" w:color="0B2545" w:sz="12"/>
              <w:right w:val="single" w:color="0B2545" w:sz="4"/>
            </w:tcBorders>
            <w:shd w:fill="0B2545" w:val="clear"/>
            <w:tcMar>
              <w:top w:type="dxa" w:w="130"/>
              <w:left w:type="dxa" w:w="160"/>
              <w:bottom w:type="dxa" w:w="13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0"/>
                <w:sz w:val="19"/>
                <w:szCs w:val="19"/>
              </w:rPr>
              <w:t xml:space="preserve">Koşul</w:t>
            </w:r>
          </w:p>
        </w:tc>
        <w:tc>
          <w:tcPr>
            <w:tcW w:type="dxa" w:w="1300"/>
            <w:tcBorders>
              <w:top w:val="single" w:color="0B2545" w:sz="12"/>
              <w:left w:val="single" w:color="0B2545" w:sz="4"/>
              <w:bottom w:val="single" w:color="0B2545" w:sz="12"/>
              <w:right w:val="single" w:color="0B2545" w:sz="4"/>
            </w:tcBorders>
            <w:shd w:fill="0B2545" w:val="clear"/>
            <w:tcMar>
              <w:top w:type="dxa" w:w="130"/>
              <w:left w:type="dxa" w:w="160"/>
              <w:bottom w:type="dxa" w:w="13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0"/>
                <w:sz w:val="19"/>
                <w:szCs w:val="19"/>
              </w:rPr>
              <w:t xml:space="preserve">Ort. Acc</w:t>
            </w:r>
          </w:p>
        </w:tc>
        <w:tc>
          <w:tcPr>
            <w:tcW w:type="dxa" w:w="1300"/>
            <w:tcBorders>
              <w:top w:val="single" w:color="0B2545" w:sz="12"/>
              <w:left w:val="single" w:color="0B2545" w:sz="4"/>
              <w:bottom w:val="single" w:color="0B2545" w:sz="12"/>
              <w:right w:val="single" w:color="0B2545" w:sz="4"/>
            </w:tcBorders>
            <w:shd w:fill="0B2545" w:val="clear"/>
            <w:tcMar>
              <w:top w:type="dxa" w:w="130"/>
              <w:left w:type="dxa" w:w="160"/>
              <w:bottom w:type="dxa" w:w="13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0"/>
                <w:sz w:val="19"/>
                <w:szCs w:val="19"/>
              </w:rPr>
              <w:t xml:space="preserve">Flip Acc</w:t>
            </w:r>
          </w:p>
        </w:tc>
        <w:tc>
          <w:tcPr>
            <w:tcW w:type="dxa" w:w="1100"/>
            <w:tcBorders>
              <w:top w:val="single" w:color="0B2545" w:sz="12"/>
              <w:left w:val="single" w:color="0B2545" w:sz="4"/>
              <w:bottom w:val="single" w:color="0B2545" w:sz="12"/>
              <w:right w:val="single" w:color="0B2545" w:sz="4"/>
            </w:tcBorders>
            <w:shd w:fill="0B2545" w:val="clear"/>
            <w:tcMar>
              <w:top w:type="dxa" w:w="130"/>
              <w:left w:type="dxa" w:w="160"/>
              <w:bottom w:type="dxa" w:w="13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0"/>
                <w:sz w:val="19"/>
                <w:szCs w:val="19"/>
              </w:rPr>
              <w:t xml:space="preserve">Naive</w:t>
            </w:r>
          </w:p>
        </w:tc>
        <w:tc>
          <w:tcPr>
            <w:tcW w:type="dxa" w:w="2606"/>
            <w:tcBorders>
              <w:top w:val="single" w:color="0B2545" w:sz="12"/>
              <w:left w:val="single" w:color="0B2545" w:sz="4"/>
              <w:bottom w:val="single" w:color="0B2545" w:sz="12"/>
              <w:right w:val="single" w:color="0B2545" w:sz="4"/>
            </w:tcBorders>
            <w:shd w:fill="0B2545" w:val="clear"/>
            <w:tcMar>
              <w:top w:type="dxa" w:w="130"/>
              <w:left w:type="dxa" w:w="160"/>
              <w:bottom w:type="dxa" w:w="13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0"/>
                <w:sz w:val="19"/>
                <w:szCs w:val="19"/>
              </w:rPr>
              <w:t xml:space="preserve">flip_wins</w:t>
            </w:r>
          </w:p>
        </w:tc>
      </w:tr>
      <w:tr>
        <w:tc>
          <w:tcPr>
            <w:tcW w:type="dxa" w:w="30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v3 (orijinal pencere, CW=balanced)</w:t>
            </w:r>
          </w:p>
        </w:tc>
        <w:tc>
          <w:tcPr>
            <w:tcW w:type="dxa" w:w="13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0,418</w:t>
            </w:r>
          </w:p>
        </w:tc>
        <w:tc>
          <w:tcPr>
            <w:tcW w:type="dxa" w:w="13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0,582</w:t>
            </w:r>
          </w:p>
        </w:tc>
        <w:tc>
          <w:tcPr>
            <w:tcW w:type="dxa" w:w="11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0,518</w:t>
            </w:r>
          </w:p>
        </w:tc>
        <w:tc>
          <w:tcPr>
            <w:tcW w:type="dxa" w:w="2606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15 / 15</w:t>
            </w:r>
          </w:p>
        </w:tc>
      </w:tr>
      <w:tr>
        <w:tc>
          <w:tcPr>
            <w:tcW w:type="dxa" w:w="30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v3b (düzelt. pencere, CW=balanced)</w:t>
            </w:r>
          </w:p>
        </w:tc>
        <w:tc>
          <w:tcPr>
            <w:tcW w:type="dxa" w:w="13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0,396</w:t>
            </w:r>
          </w:p>
        </w:tc>
        <w:tc>
          <w:tcPr>
            <w:tcW w:type="dxa" w:w="13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0,604</w:t>
            </w:r>
          </w:p>
        </w:tc>
        <w:tc>
          <w:tcPr>
            <w:tcW w:type="dxa" w:w="11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0,518</w:t>
            </w:r>
          </w:p>
        </w:tc>
        <w:tc>
          <w:tcPr>
            <w:tcW w:type="dxa" w:w="2606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15 / 15</w:t>
            </w:r>
          </w:p>
        </w:tc>
      </w:tr>
      <w:tr>
        <w:tc>
          <w:tcPr>
            <w:tcW w:type="dxa" w:w="30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v3c (düzelt. pencere, CW=NULL)</w:t>
            </w:r>
          </w:p>
        </w:tc>
        <w:tc>
          <w:tcPr>
            <w:tcW w:type="dxa" w:w="13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0,436</w:t>
            </w:r>
          </w:p>
        </w:tc>
        <w:tc>
          <w:tcPr>
            <w:tcW w:type="dxa" w:w="13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0,564</w:t>
            </w:r>
          </w:p>
        </w:tc>
        <w:tc>
          <w:tcPr>
            <w:tcW w:type="dxa" w:w="11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0,518</w:t>
            </w:r>
          </w:p>
        </w:tc>
        <w:tc>
          <w:tcPr>
            <w:tcW w:type="dxa" w:w="2606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15 / 15</w:t>
            </w:r>
          </w:p>
        </w:tc>
      </w:tr>
      <w:tr>
        <w:tc>
          <w:tcPr>
            <w:tcW w:type="dxa" w:w="30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v6 (BiLSTM + Multi-Head Attention)</w:t>
            </w:r>
          </w:p>
        </w:tc>
        <w:tc>
          <w:tcPr>
            <w:tcW w:type="dxa" w:w="13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0,443</w:t>
            </w:r>
          </w:p>
        </w:tc>
        <w:tc>
          <w:tcPr>
            <w:tcW w:type="dxa" w:w="13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0,557</w:t>
            </w:r>
          </w:p>
        </w:tc>
        <w:tc>
          <w:tcPr>
            <w:tcW w:type="dxa" w:w="11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0,518</w:t>
            </w:r>
          </w:p>
        </w:tc>
        <w:tc>
          <w:tcPr>
            <w:tcW w:type="dxa" w:w="2606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14 / 15</w:t>
            </w:r>
          </w:p>
        </w:tc>
      </w:tr>
      <w:tr>
        <w:tc>
          <w:tcPr>
            <w:tcW w:type="dxa" w:w="30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330"/>
                <w:sz w:val="22"/>
                <w:szCs w:val="22"/>
              </w:rPr>
              <w:t xml:space="preserve">TOPLAM (3 BiLSTM koşulu)</w:t>
            </w:r>
          </w:p>
        </w:tc>
        <w:tc>
          <w:tcPr>
            <w:tcW w:type="dxa" w:w="13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330"/>
                <w:sz w:val="22"/>
                <w:szCs w:val="22"/>
              </w:rPr>
              <w:t xml:space="preserve">0,417 (ort.)</w:t>
            </w:r>
          </w:p>
        </w:tc>
        <w:tc>
          <w:tcPr>
            <w:tcW w:type="dxa" w:w="13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330"/>
                <w:sz w:val="22"/>
                <w:szCs w:val="22"/>
              </w:rPr>
              <w:t xml:space="preserve">0,583 (ort.)</w:t>
            </w:r>
          </w:p>
        </w:tc>
        <w:tc>
          <w:tcPr>
            <w:tcW w:type="dxa" w:w="11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330"/>
                <w:sz w:val="22"/>
                <w:szCs w:val="22"/>
              </w:rPr>
              <w:t xml:space="preserve">0,518</w:t>
            </w:r>
          </w:p>
        </w:tc>
        <w:tc>
          <w:tcPr>
            <w:tcW w:type="dxa" w:w="2606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A03A2C"/>
                <w:sz w:val="22"/>
                <w:szCs w:val="22"/>
              </w:rPr>
              <w:t xml:space="preserve">45 / 45</w:t>
            </w:r>
          </w:p>
        </w:tc>
      </w:tr>
    </w:tbl>
    <w:p>
      <w:pPr>
        <w:spacing w:after="80" w:before="80" w:line="320"/>
      </w:pPr>
      <w:r>
        <w:rPr>
          <w:rFonts w:ascii="Calibri" w:cs="Calibri" w:eastAsia="Calibri" w:hAnsi="Calibri"/>
          <w:color w:val="1F2330"/>
          <w:sz w:val="22"/>
          <w:szCs w:val="22"/>
        </w:rPr>
        <w:t xml:space="preserve">İstatistiksel güç: p(118/120 | p = 0,5) ≈ 6 × 10⁻³³. Validasyon setinde BalAcc ≈ 0,54 &gt; Naive 0,518; test setinde Acc 0,40 &lt; Naive — bu asimetri train→test distribution shift veya gerçek reversal anomalisine işaret eder. Sıkı kriter (flip &gt; Naive ∧ acc ≤ Naive) yalnızca IN_LEN = 2 koşullarında 8/15 olarak gerçekleşir.</w:t>
      </w:r>
    </w:p>
    <w:p>
      <w:pPr>
        <w:spacing w:after="60" w:before="280"/>
        <w:jc w:val="center"/>
      </w:pPr>
      <w:r>
        <w:drawing>
          <wp:inline distT="0" distB="0" distL="0" distR="0">
            <wp:extent cx="4953000" cy="2952750"/>
            <wp:effectExtent t="0" r="0" b="0" l="0"/>
            <wp:docPr id="1" name="02_Anti_Prediktif_Scatter.png" descr="Şekil 3. flip_Acc vs Acc dağılımı (THYAO BiLSTM v3 ailesi)" title="Şekil 3. flip_Acc vs Acc dağılımı (THYAO BiLSTM v3 ailesi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top w:val="single" w:color="B68900" w:sz="6" w:space="4"/>
        </w:pBdr>
        <w:spacing w:after="280" w:before="0"/>
        <w:jc w:val="center"/>
      </w:pPr>
      <w:r>
        <w:rPr>
          <w:rFonts w:ascii="Cambria" w:cs="Cambria" w:eastAsia="Cambria" w:hAnsi="Cambria"/>
          <w:i/>
          <w:iCs/>
          <w:color w:val="5B6273"/>
          <w:sz w:val="18"/>
          <w:szCs w:val="18"/>
        </w:rPr>
        <w:t xml:space="preserve">Şekil 3. flip_Acc vs Acc dağılımı (THYAO BiLSTM v3 ailesi)</w:t>
      </w:r>
    </w:p>
    <w:p>
      <w:pPr>
        <w:spacing w:after="60" w:before="280"/>
        <w:jc w:val="center"/>
      </w:pPr>
      <w:r>
        <w:drawing>
          <wp:inline distT="0" distB="0" distL="0" distR="0">
            <wp:extent cx="4953000" cy="2952750"/>
            <wp:effectExtent t="0" r="0" b="0" l="0"/>
            <wp:docPr id="1" name="09_AntiPredictive_ROC_Curve.png" descr="Şekil 4. Anti-prediktif rejimde ROC eğrisi (köşegenin altında kalan AUC)" title="Şekil 4. Anti-prediktif rejimde ROC eğrisi (köşegenin altında kalan AUC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top w:val="single" w:color="B68900" w:sz="6" w:space="4"/>
        </w:pBdr>
        <w:spacing w:after="280" w:before="0"/>
        <w:jc w:val="center"/>
      </w:pPr>
      <w:r>
        <w:rPr>
          <w:rFonts w:ascii="Cambria" w:cs="Cambria" w:eastAsia="Cambria" w:hAnsi="Cambria"/>
          <w:i/>
          <w:iCs/>
          <w:color w:val="5B6273"/>
          <w:sz w:val="18"/>
          <w:szCs w:val="18"/>
        </w:rPr>
        <w:t xml:space="preserve">Şekil 4. Anti-prediktif rejimde ROC eğrisi (köşegenin altında kalan AUC)</w:t>
      </w:r>
    </w:p>
    <w:p>
      <w:pPr>
        <w:pStyle w:val="Heading2"/>
        <w:pBdr>
          <w:bottom w:val="single" w:color="B68900" w:sz="8" w:space="4"/>
        </w:pBdr>
        <w:spacing w:after="140" w:before="360"/>
      </w:pPr>
      <w:r>
        <w:rPr>
          <w:rFonts w:ascii="Cambria" w:cs="Cambria" w:eastAsia="Cambria" w:hAnsi="Cambria"/>
          <w:b/>
          <w:bCs/>
          <w:color w:val="0B2545"/>
          <w:sz w:val="28"/>
          <w:szCs w:val="28"/>
        </w:rPr>
        <w:t xml:space="preserve">4.3 Mekanizma: Makroekonomik Korelasyon Kırılması</w:t>
      </w:r>
    </w:p>
    <w:p>
      <w:pPr>
        <w:spacing w:after="80" w:before="80" w:line="320"/>
      </w:pPr>
      <w:r>
        <w:rPr>
          <w:rFonts w:ascii="Calibri" w:cs="Calibri" w:eastAsia="Calibri" w:hAnsi="Calibri"/>
          <w:color w:val="1F2330"/>
          <w:sz w:val="22"/>
          <w:szCs w:val="22"/>
        </w:rPr>
        <w:t xml:space="preserve">Feature ablasyon ve korelasyon analizi (Sonuclar/diagnostics/mcaware_corr_analysis.csv) anti-prediktif davranışın kaynağını makro değişkenlerin train→test korelasyon kırılmasına bağlamaktadır. Tek değişken çıkarmak yetmez; üçü birlikte çıkarıldığında (no_ext_10) flip_wins = 0/15 olur. Etki kombinedir.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300"/>
        <w:gridCol w:w="1300"/>
        <w:gridCol w:w="1500"/>
        <w:gridCol w:w="2906"/>
      </w:tblGrid>
      <w:tr>
        <w:trPr>
          <w:tblHeader/>
        </w:trPr>
        <w:tc>
          <w:tcPr>
            <w:tcW w:type="dxa" w:w="2300"/>
            <w:tcBorders>
              <w:top w:val="single" w:color="0B2545" w:sz="12"/>
              <w:left w:val="single" w:color="0B2545" w:sz="4"/>
              <w:bottom w:val="single" w:color="0B2545" w:sz="12"/>
              <w:right w:val="single" w:color="0B2545" w:sz="4"/>
            </w:tcBorders>
            <w:shd w:fill="0B2545" w:val="clear"/>
            <w:tcMar>
              <w:top w:type="dxa" w:w="130"/>
              <w:left w:type="dxa" w:w="160"/>
              <w:bottom w:type="dxa" w:w="13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0"/>
                <w:sz w:val="19"/>
                <w:szCs w:val="19"/>
              </w:rPr>
              <w:t xml:space="preserve">Değişken</w:t>
            </w:r>
          </w:p>
        </w:tc>
        <w:tc>
          <w:tcPr>
            <w:tcW w:type="dxa" w:w="1300"/>
            <w:tcBorders>
              <w:top w:val="single" w:color="0B2545" w:sz="12"/>
              <w:left w:val="single" w:color="0B2545" w:sz="4"/>
              <w:bottom w:val="single" w:color="0B2545" w:sz="12"/>
              <w:right w:val="single" w:color="0B2545" w:sz="4"/>
            </w:tcBorders>
            <w:shd w:fill="0B2545" w:val="clear"/>
            <w:tcMar>
              <w:top w:type="dxa" w:w="130"/>
              <w:left w:type="dxa" w:w="160"/>
              <w:bottom w:type="dxa" w:w="13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0"/>
                <w:sz w:val="19"/>
                <w:szCs w:val="19"/>
              </w:rPr>
              <w:t xml:space="preserve">cor_train</w:t>
            </w:r>
          </w:p>
        </w:tc>
        <w:tc>
          <w:tcPr>
            <w:tcW w:type="dxa" w:w="1300"/>
            <w:tcBorders>
              <w:top w:val="single" w:color="0B2545" w:sz="12"/>
              <w:left w:val="single" w:color="0B2545" w:sz="4"/>
              <w:bottom w:val="single" w:color="0B2545" w:sz="12"/>
              <w:right w:val="single" w:color="0B2545" w:sz="4"/>
            </w:tcBorders>
            <w:shd w:fill="0B2545" w:val="clear"/>
            <w:tcMar>
              <w:top w:type="dxa" w:w="130"/>
              <w:left w:type="dxa" w:w="160"/>
              <w:bottom w:type="dxa" w:w="13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0"/>
                <w:sz w:val="19"/>
                <w:szCs w:val="19"/>
              </w:rPr>
              <w:t xml:space="preserve">cor_test</w:t>
            </w:r>
          </w:p>
        </w:tc>
        <w:tc>
          <w:tcPr>
            <w:tcW w:type="dxa" w:w="1500"/>
            <w:tcBorders>
              <w:top w:val="single" w:color="0B2545" w:sz="12"/>
              <w:left w:val="single" w:color="0B2545" w:sz="4"/>
              <w:bottom w:val="single" w:color="0B2545" w:sz="12"/>
              <w:right w:val="single" w:color="0B2545" w:sz="4"/>
            </w:tcBorders>
            <w:shd w:fill="0B2545" w:val="clear"/>
            <w:tcMar>
              <w:top w:type="dxa" w:w="130"/>
              <w:left w:type="dxa" w:w="160"/>
              <w:bottom w:type="dxa" w:w="13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0"/>
                <w:sz w:val="19"/>
                <w:szCs w:val="19"/>
              </w:rPr>
              <w:t xml:space="preserve">Δ (test − train)</w:t>
            </w:r>
          </w:p>
        </w:tc>
        <w:tc>
          <w:tcPr>
            <w:tcW w:type="dxa" w:w="2906"/>
            <w:tcBorders>
              <w:top w:val="single" w:color="0B2545" w:sz="12"/>
              <w:left w:val="single" w:color="0B2545" w:sz="4"/>
              <w:bottom w:val="single" w:color="0B2545" w:sz="12"/>
              <w:right w:val="single" w:color="0B2545" w:sz="4"/>
            </w:tcBorders>
            <w:shd w:fill="0B2545" w:val="clear"/>
            <w:tcMar>
              <w:top w:type="dxa" w:w="130"/>
              <w:left w:type="dxa" w:w="160"/>
              <w:bottom w:type="dxa" w:w="13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0"/>
                <w:sz w:val="19"/>
                <w:szCs w:val="19"/>
              </w:rPr>
              <w:t xml:space="preserve">Yorum</w:t>
            </w:r>
          </w:p>
        </w:tc>
      </w:tr>
      <w:tr>
        <w:tc>
          <w:tcPr>
            <w:tcW w:type="dxa" w:w="23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USDTRY (THYAO)</w:t>
            </w:r>
          </w:p>
        </w:tc>
        <w:tc>
          <w:tcPr>
            <w:tcW w:type="dxa" w:w="13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+0,908</w:t>
            </w:r>
          </w:p>
        </w:tc>
        <w:tc>
          <w:tcPr>
            <w:tcW w:type="dxa" w:w="13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+0,412</w:t>
            </w:r>
          </w:p>
        </w:tc>
        <w:tc>
          <w:tcPr>
            <w:tcW w:type="dxa" w:w="15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–0,496</w:t>
            </w:r>
          </w:p>
        </w:tc>
        <w:tc>
          <w:tcPr>
            <w:tcW w:type="dxa" w:w="2906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Aynı yönde kalmış ama zayıflamış</w:t>
            </w:r>
          </w:p>
        </w:tc>
      </w:tr>
      <w:tr>
        <w:tc>
          <w:tcPr>
            <w:tcW w:type="dxa" w:w="23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F2330"/>
                <w:sz w:val="22"/>
                <w:szCs w:val="22"/>
              </w:rPr>
              <w:t xml:space="preserve">Oil (THYAO)</w:t>
            </w:r>
          </w:p>
        </w:tc>
        <w:tc>
          <w:tcPr>
            <w:tcW w:type="dxa" w:w="13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2"/>
                <w:szCs w:val="22"/>
              </w:rPr>
              <w:t xml:space="preserve">+0,414</w:t>
            </w:r>
          </w:p>
        </w:tc>
        <w:tc>
          <w:tcPr>
            <w:tcW w:type="dxa" w:w="13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2"/>
                <w:szCs w:val="22"/>
              </w:rPr>
              <w:t xml:space="preserve">–0,148</w:t>
            </w:r>
          </w:p>
        </w:tc>
        <w:tc>
          <w:tcPr>
            <w:tcW w:type="dxa" w:w="15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A03A2C"/>
                <w:sz w:val="22"/>
                <w:szCs w:val="22"/>
              </w:rPr>
              <w:t xml:space="preserve">–0,562</w:t>
            </w:r>
          </w:p>
        </w:tc>
        <w:tc>
          <w:tcPr>
            <w:tcW w:type="dxa" w:w="2906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A03A2C"/>
                <w:sz w:val="22"/>
                <w:szCs w:val="22"/>
              </w:rPr>
              <w:t xml:space="preserve">İŞARET DEĞİŞTİ</w:t>
            </w:r>
          </w:p>
        </w:tc>
      </w:tr>
      <w:tr>
        <w:tc>
          <w:tcPr>
            <w:tcW w:type="dxa" w:w="23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TCMB_Rate (THYAO)</w:t>
            </w:r>
          </w:p>
        </w:tc>
        <w:tc>
          <w:tcPr>
            <w:tcW w:type="dxa" w:w="13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+0,194</w:t>
            </w:r>
          </w:p>
        </w:tc>
        <w:tc>
          <w:tcPr>
            <w:tcW w:type="dxa" w:w="13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+0,311</w:t>
            </w:r>
          </w:p>
        </w:tc>
        <w:tc>
          <w:tcPr>
            <w:tcW w:type="dxa" w:w="15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+0,117</w:t>
            </w:r>
          </w:p>
        </w:tc>
        <w:tc>
          <w:tcPr>
            <w:tcW w:type="dxa" w:w="2906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Hafif güçlenmiş</w:t>
            </w:r>
          </w:p>
        </w:tc>
      </w:tr>
      <w:tr>
        <w:tc>
          <w:tcPr>
            <w:tcW w:type="dxa" w:w="23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USDTRY (GARAN)</w:t>
            </w:r>
          </w:p>
        </w:tc>
        <w:tc>
          <w:tcPr>
            <w:tcW w:type="dxa" w:w="13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+0,890</w:t>
            </w:r>
          </w:p>
        </w:tc>
        <w:tc>
          <w:tcPr>
            <w:tcW w:type="dxa" w:w="13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+0,849</w:t>
            </w:r>
          </w:p>
        </w:tc>
        <w:tc>
          <w:tcPr>
            <w:tcW w:type="dxa" w:w="15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–0,041</w:t>
            </w:r>
          </w:p>
        </w:tc>
        <w:tc>
          <w:tcPr>
            <w:tcW w:type="dxa" w:w="2906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Neredeyse sabit</w:t>
            </w:r>
          </w:p>
        </w:tc>
      </w:tr>
      <w:tr>
        <w:tc>
          <w:tcPr>
            <w:tcW w:type="dxa" w:w="23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F2330"/>
                <w:sz w:val="22"/>
                <w:szCs w:val="22"/>
              </w:rPr>
              <w:t xml:space="preserve">Oil (GARAN)</w:t>
            </w:r>
          </w:p>
        </w:tc>
        <w:tc>
          <w:tcPr>
            <w:tcW w:type="dxa" w:w="13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2"/>
                <w:szCs w:val="22"/>
              </w:rPr>
              <w:t xml:space="preserve">+0,434</w:t>
            </w:r>
          </w:p>
        </w:tc>
        <w:tc>
          <w:tcPr>
            <w:tcW w:type="dxa" w:w="13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2"/>
                <w:szCs w:val="22"/>
              </w:rPr>
              <w:t xml:space="preserve">–0,517</w:t>
            </w:r>
          </w:p>
        </w:tc>
        <w:tc>
          <w:tcPr>
            <w:tcW w:type="dxa" w:w="15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A03A2C"/>
                <w:sz w:val="22"/>
                <w:szCs w:val="22"/>
              </w:rPr>
              <w:t xml:space="preserve">–0,951</w:t>
            </w:r>
          </w:p>
        </w:tc>
        <w:tc>
          <w:tcPr>
            <w:tcW w:type="dxa" w:w="2906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F2330"/>
                <w:sz w:val="22"/>
                <w:szCs w:val="22"/>
              </w:rPr>
              <w:t xml:space="preserve">BÜYÜK işaret değişimi</w:t>
            </w:r>
          </w:p>
        </w:tc>
      </w:tr>
      <w:tr>
        <w:tc>
          <w:tcPr>
            <w:tcW w:type="dxa" w:w="23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F2330"/>
                <w:sz w:val="22"/>
                <w:szCs w:val="22"/>
              </w:rPr>
              <w:t xml:space="preserve">Oil (AAPL)</w:t>
            </w:r>
          </w:p>
        </w:tc>
        <w:tc>
          <w:tcPr>
            <w:tcW w:type="dxa" w:w="13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2"/>
                <w:szCs w:val="22"/>
              </w:rPr>
              <w:t xml:space="preserve">+0,554</w:t>
            </w:r>
          </w:p>
        </w:tc>
        <w:tc>
          <w:tcPr>
            <w:tcW w:type="dxa" w:w="13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2"/>
                <w:szCs w:val="22"/>
              </w:rPr>
              <w:t xml:space="preserve">–0,502</w:t>
            </w:r>
          </w:p>
        </w:tc>
        <w:tc>
          <w:tcPr>
            <w:tcW w:type="dxa" w:w="15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A03A2C"/>
                <w:sz w:val="22"/>
                <w:szCs w:val="22"/>
              </w:rPr>
              <w:t xml:space="preserve">–1,056</w:t>
            </w:r>
          </w:p>
        </w:tc>
        <w:tc>
          <w:tcPr>
            <w:tcW w:type="dxa" w:w="2906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F2330"/>
                <w:sz w:val="22"/>
                <w:szCs w:val="22"/>
              </w:rPr>
              <w:t xml:space="preserve">En büyük kırılma ama anti-pred YOK</w:t>
            </w:r>
          </w:p>
        </w:tc>
      </w:tr>
      <w:tr>
        <w:tc>
          <w:tcPr>
            <w:tcW w:type="dxa" w:w="23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F2330"/>
                <w:sz w:val="22"/>
                <w:szCs w:val="22"/>
              </w:rPr>
              <w:t xml:space="preserve">Fed_Rate (AAPL)</w:t>
            </w:r>
          </w:p>
        </w:tc>
        <w:tc>
          <w:tcPr>
            <w:tcW w:type="dxa" w:w="13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2"/>
                <w:szCs w:val="22"/>
              </w:rPr>
              <w:t xml:space="preserve">+0,149</w:t>
            </w:r>
          </w:p>
        </w:tc>
        <w:tc>
          <w:tcPr>
            <w:tcW w:type="dxa" w:w="13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2"/>
                <w:szCs w:val="22"/>
              </w:rPr>
              <w:t xml:space="preserve">–0,785</w:t>
            </w:r>
          </w:p>
        </w:tc>
        <w:tc>
          <w:tcPr>
            <w:tcW w:type="dxa" w:w="15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A03A2C"/>
                <w:sz w:val="22"/>
                <w:szCs w:val="22"/>
              </w:rPr>
              <w:t xml:space="preserve">–0,935</w:t>
            </w:r>
          </w:p>
        </w:tc>
        <w:tc>
          <w:tcPr>
            <w:tcW w:type="dxa" w:w="2906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F2330"/>
                <w:sz w:val="22"/>
                <w:szCs w:val="22"/>
              </w:rPr>
              <w:t xml:space="preserve">Mekanizma yeterli koşul değil</w:t>
            </w:r>
          </w:p>
        </w:tc>
      </w:tr>
    </w:tbl>
    <w:p>
      <w:pPr>
        <w:spacing w:after="60" w:before="280"/>
        <w:jc w:val="center"/>
      </w:pPr>
      <w:r>
        <w:drawing>
          <wp:inline distT="0" distB="0" distL="0" distR="0">
            <wp:extent cx="4953000" cy="2952750"/>
            <wp:effectExtent t="0" r="0" b="0" l="0"/>
            <wp:docPr id="1" name="03_Correlation_Drift_Slope.png" descr="Şekil 5. Korelasyon sürüklenmesi: THYAO vs GARAN vs AAPL" title="Şekil 5. Korelasyon sürüklenmesi: THYAO vs GARAN vs AAP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top w:val="single" w:color="B68900" w:sz="6" w:space="4"/>
        </w:pBdr>
        <w:spacing w:after="280" w:before="0"/>
        <w:jc w:val="center"/>
      </w:pPr>
      <w:r>
        <w:rPr>
          <w:rFonts w:ascii="Cambria" w:cs="Cambria" w:eastAsia="Cambria" w:hAnsi="Cambria"/>
          <w:i/>
          <w:iCs/>
          <w:color w:val="5B6273"/>
          <w:sz w:val="18"/>
          <w:szCs w:val="18"/>
        </w:rPr>
        <w:t xml:space="preserve">Şekil 5. Korelasyon sürüklenmesi: THYAO vs GARAN vs AAPL</w:t>
      </w:r>
    </w:p>
    <w:p>
      <w:pPr>
        <w:spacing w:after="60" w:before="280"/>
        <w:jc w:val="center"/>
      </w:pPr>
      <w:r>
        <w:drawing>
          <wp:inline distT="0" distB="0" distL="0" distR="0">
            <wp:extent cx="4953000" cy="2952750"/>
            <wp:effectExtent t="0" r="0" b="0" l="0"/>
            <wp:docPr id="1" name="11_Korelasyon_Paradoksu.png" descr="Şekil 6. GARAN paradoksu — kırılma büyük, anti-pred yok" title="Şekil 6. GARAN paradoksu — kırılma büyük, anti-pred yo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top w:val="single" w:color="B68900" w:sz="6" w:space="4"/>
        </w:pBdr>
        <w:spacing w:after="280" w:before="0"/>
        <w:jc w:val="center"/>
      </w:pPr>
      <w:r>
        <w:rPr>
          <w:rFonts w:ascii="Cambria" w:cs="Cambria" w:eastAsia="Cambria" w:hAnsi="Cambria"/>
          <w:i/>
          <w:iCs/>
          <w:color w:val="5B6273"/>
          <w:sz w:val="18"/>
          <w:szCs w:val="18"/>
        </w:rPr>
        <w:t xml:space="preserve">Şekil 6. GARAN paradoksu — kırılma büyük, anti-pred yok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6"/>
      </w:tblGrid>
      <w:tr>
        <w:tc>
          <w:tcPr>
            <w:tcW w:type="dxa" w:w="9306"/>
            <w:tcBorders>
              <w:top w:val="single" w:color="FAF4E1" w:sz="4"/>
              <w:left w:val="single" w:color="A67500" w:sz="36"/>
              <w:bottom w:val="single" w:color="FAF4E1" w:sz="4"/>
              <w:right w:val="single" w:color="FAF4E1" w:sz="4"/>
            </w:tcBorders>
            <w:shd w:fill="FAF4E1" w:val="clear"/>
            <w:tcMar>
              <w:top w:type="dxa" w:w="220"/>
              <w:left w:type="dxa" w:w="280"/>
              <w:bottom w:type="dxa" w:w="22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Cambria" w:cs="Cambria" w:eastAsia="Cambria" w:hAnsi="Cambria"/>
                <w:b/>
                <w:bCs/>
                <w:color w:val="A67500"/>
                <w:sz w:val="22"/>
                <w:szCs w:val="22"/>
              </w:rPr>
              <w:t xml:space="preserve">!  AAPL Çelişkisi (Açık Soru)</w:t>
            </w:r>
          </w:p>
          <w:p>
            <w:pPr>
              <w:spacing w:after="80" w:before="80" w:line="320"/>
            </w:pPr>
            <w:r>
              <w:rPr>
                <w:rFonts w:ascii="Calibri" w:cs="Calibri" w:eastAsia="Calibri" w:hAnsi="Calibri"/>
                <w:color w:val="1F2330"/>
                <w:sz w:val="22"/>
                <w:szCs w:val="22"/>
              </w:rPr>
              <w:t xml:space="preserve">AAPL’da korelasyon kırılması THYAO’dan büyüktür (Oil farkı –1,056 vs –0,562) ancak anti-prediktif davranış gözlenmemiştir. Bu, korelasyon kırılmasının </w:t>
            </w:r>
            <w:r>
              <w:rPr>
                <w:rFonts w:ascii="Calibri" w:cs="Calibri" w:eastAsia="Calibri" w:hAnsi="Calibri"/>
                <w:b/>
                <w:bCs/>
                <w:color w:val="A03A2C"/>
                <w:sz w:val="22"/>
                <w:szCs w:val="22"/>
              </w:rPr>
              <w:t xml:space="preserve">gerekli ama yeterli olmayan</w:t>
            </w:r>
            <w:r>
              <w:rPr>
                <w:rFonts w:ascii="Calibri" w:cs="Calibri" w:eastAsia="Calibri" w:hAnsi="Calibri"/>
                <w:color w:val="1F2330"/>
                <w:sz w:val="22"/>
                <w:szCs w:val="22"/>
              </w:rPr>
              <w:t xml:space="preserve"> bir koşul olduğunu gösterir; BIST’e özgü ek faktörler (düşük likidite, siyasi belirsizlik, mikroyapı) hipotez listesindedir.</w:t>
            </w:r>
          </w:p>
        </w:tc>
      </w:tr>
    </w:tbl>
    <w:p>
      <w:pPr>
        <w:pStyle w:val="Heading2"/>
        <w:pBdr>
          <w:bottom w:val="single" w:color="B68900" w:sz="8" w:space="4"/>
        </w:pBdr>
        <w:spacing w:after="140" w:before="360"/>
      </w:pPr>
      <w:r>
        <w:rPr>
          <w:rFonts w:ascii="Cambria" w:cs="Cambria" w:eastAsia="Cambria" w:hAnsi="Cambria"/>
          <w:b/>
          <w:bCs/>
          <w:color w:val="0B2545"/>
          <w:sz w:val="28"/>
          <w:szCs w:val="28"/>
        </w:rPr>
        <w:t xml:space="preserve">4.4 Feature Ablasyonu — Mekanizmanın Doğrulanması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000"/>
        <w:gridCol w:w="1100"/>
        <w:gridCol w:w="1100"/>
        <w:gridCol w:w="1300"/>
        <w:gridCol w:w="2206"/>
      </w:tblGrid>
      <w:tr>
        <w:trPr>
          <w:tblHeader/>
        </w:trPr>
        <w:tc>
          <w:tcPr>
            <w:tcW w:type="dxa" w:w="2600"/>
            <w:tcBorders>
              <w:top w:val="single" w:color="0B2545" w:sz="12"/>
              <w:left w:val="single" w:color="0B2545" w:sz="4"/>
              <w:bottom w:val="single" w:color="0B2545" w:sz="12"/>
              <w:right w:val="single" w:color="0B2545" w:sz="4"/>
            </w:tcBorders>
            <w:shd w:fill="0B2545" w:val="clear"/>
            <w:tcMar>
              <w:top w:type="dxa" w:w="130"/>
              <w:left w:type="dxa" w:w="160"/>
              <w:bottom w:type="dxa" w:w="13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0"/>
                <w:sz w:val="19"/>
                <w:szCs w:val="19"/>
              </w:rPr>
              <w:t xml:space="preserve">Grup</w:t>
            </w:r>
          </w:p>
        </w:tc>
        <w:tc>
          <w:tcPr>
            <w:tcW w:type="dxa" w:w="1000"/>
            <w:tcBorders>
              <w:top w:val="single" w:color="0B2545" w:sz="12"/>
              <w:left w:val="single" w:color="0B2545" w:sz="4"/>
              <w:bottom w:val="single" w:color="0B2545" w:sz="12"/>
              <w:right w:val="single" w:color="0B2545" w:sz="4"/>
            </w:tcBorders>
            <w:shd w:fill="0B2545" w:val="clear"/>
            <w:tcMar>
              <w:top w:type="dxa" w:w="130"/>
              <w:left w:type="dxa" w:w="160"/>
              <w:bottom w:type="dxa" w:w="13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0"/>
                <w:sz w:val="19"/>
                <w:szCs w:val="19"/>
              </w:rPr>
              <w:t xml:space="preserve">n_feat</w:t>
            </w:r>
          </w:p>
        </w:tc>
        <w:tc>
          <w:tcPr>
            <w:tcW w:type="dxa" w:w="1100"/>
            <w:tcBorders>
              <w:top w:val="single" w:color="0B2545" w:sz="12"/>
              <w:left w:val="single" w:color="0B2545" w:sz="4"/>
              <w:bottom w:val="single" w:color="0B2545" w:sz="12"/>
              <w:right w:val="single" w:color="0B2545" w:sz="4"/>
            </w:tcBorders>
            <w:shd w:fill="0B2545" w:val="clear"/>
            <w:tcMar>
              <w:top w:type="dxa" w:w="130"/>
              <w:left w:type="dxa" w:w="160"/>
              <w:bottom w:type="dxa" w:w="13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0"/>
                <w:sz w:val="19"/>
                <w:szCs w:val="19"/>
              </w:rPr>
              <w:t xml:space="preserve">Ort. Acc</w:t>
            </w:r>
          </w:p>
        </w:tc>
        <w:tc>
          <w:tcPr>
            <w:tcW w:type="dxa" w:w="1100"/>
            <w:tcBorders>
              <w:top w:val="single" w:color="0B2545" w:sz="12"/>
              <w:left w:val="single" w:color="0B2545" w:sz="4"/>
              <w:bottom w:val="single" w:color="0B2545" w:sz="12"/>
              <w:right w:val="single" w:color="0B2545" w:sz="4"/>
            </w:tcBorders>
            <w:shd w:fill="0B2545" w:val="clear"/>
            <w:tcMar>
              <w:top w:type="dxa" w:w="130"/>
              <w:left w:type="dxa" w:w="160"/>
              <w:bottom w:type="dxa" w:w="13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0"/>
                <w:sz w:val="19"/>
                <w:szCs w:val="19"/>
              </w:rPr>
              <w:t xml:space="preserve">Flip Acc</w:t>
            </w:r>
          </w:p>
        </w:tc>
        <w:tc>
          <w:tcPr>
            <w:tcW w:type="dxa" w:w="1300"/>
            <w:tcBorders>
              <w:top w:val="single" w:color="0B2545" w:sz="12"/>
              <w:left w:val="single" w:color="0B2545" w:sz="4"/>
              <w:bottom w:val="single" w:color="0B2545" w:sz="12"/>
              <w:right w:val="single" w:color="0B2545" w:sz="4"/>
            </w:tcBorders>
            <w:shd w:fill="0B2545" w:val="clear"/>
            <w:tcMar>
              <w:top w:type="dxa" w:w="130"/>
              <w:left w:type="dxa" w:w="160"/>
              <w:bottom w:type="dxa" w:w="13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0"/>
                <w:sz w:val="19"/>
                <w:szCs w:val="19"/>
              </w:rPr>
              <w:t xml:space="preserve">flip_wins</w:t>
            </w:r>
          </w:p>
        </w:tc>
        <w:tc>
          <w:tcPr>
            <w:tcW w:type="dxa" w:w="2206"/>
            <w:tcBorders>
              <w:top w:val="single" w:color="0B2545" w:sz="12"/>
              <w:left w:val="single" w:color="0B2545" w:sz="4"/>
              <w:bottom w:val="single" w:color="0B2545" w:sz="12"/>
              <w:right w:val="single" w:color="0B2545" w:sz="4"/>
            </w:tcBorders>
            <w:shd w:fill="0B2545" w:val="clear"/>
            <w:tcMar>
              <w:top w:type="dxa" w:w="130"/>
              <w:left w:type="dxa" w:w="160"/>
              <w:bottom w:type="dxa" w:w="13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0"/>
                <w:sz w:val="19"/>
                <w:szCs w:val="19"/>
              </w:rPr>
              <w:t xml:space="preserve">Yorum</w:t>
            </w:r>
          </w:p>
        </w:tc>
      </w:tr>
      <w:tr>
        <w:tc>
          <w:tcPr>
            <w:tcW w:type="dxa" w:w="26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full_13 (makro dahil)</w:t>
            </w:r>
          </w:p>
        </w:tc>
        <w:tc>
          <w:tcPr>
            <w:tcW w:type="dxa" w:w="10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13</w:t>
            </w:r>
          </w:p>
        </w:tc>
        <w:tc>
          <w:tcPr>
            <w:tcW w:type="dxa" w:w="11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0,396</w:t>
            </w:r>
          </w:p>
        </w:tc>
        <w:tc>
          <w:tcPr>
            <w:tcW w:type="dxa" w:w="11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0,604</w:t>
            </w:r>
          </w:p>
        </w:tc>
        <w:tc>
          <w:tcPr>
            <w:tcW w:type="dxa" w:w="13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15 / 15</w:t>
            </w:r>
          </w:p>
        </w:tc>
        <w:tc>
          <w:tcPr>
            <w:tcW w:type="dxa" w:w="2206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Anti-prediktif aktif</w:t>
            </w:r>
          </w:p>
        </w:tc>
      </w:tr>
      <w:tr>
        <w:tc>
          <w:tcPr>
            <w:tcW w:type="dxa" w:w="26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no_Oil_12</w:t>
            </w:r>
          </w:p>
        </w:tc>
        <w:tc>
          <w:tcPr>
            <w:tcW w:type="dxa" w:w="10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12</w:t>
            </w:r>
          </w:p>
        </w:tc>
        <w:tc>
          <w:tcPr>
            <w:tcW w:type="dxa" w:w="11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0,449</w:t>
            </w:r>
          </w:p>
        </w:tc>
        <w:tc>
          <w:tcPr>
            <w:tcW w:type="dxa" w:w="11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0,551</w:t>
            </w:r>
          </w:p>
        </w:tc>
        <w:tc>
          <w:tcPr>
            <w:tcW w:type="dxa" w:w="13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3 / 3</w:t>
            </w:r>
          </w:p>
        </w:tc>
        <w:tc>
          <w:tcPr>
            <w:tcW w:type="dxa" w:w="2206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Etki sürüyor</w:t>
            </w:r>
          </w:p>
        </w:tc>
      </w:tr>
      <w:tr>
        <w:tc>
          <w:tcPr>
            <w:tcW w:type="dxa" w:w="26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no_TCMB_12</w:t>
            </w:r>
          </w:p>
        </w:tc>
        <w:tc>
          <w:tcPr>
            <w:tcW w:type="dxa" w:w="10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12</w:t>
            </w:r>
          </w:p>
        </w:tc>
        <w:tc>
          <w:tcPr>
            <w:tcW w:type="dxa" w:w="11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0,449</w:t>
            </w:r>
          </w:p>
        </w:tc>
        <w:tc>
          <w:tcPr>
            <w:tcW w:type="dxa" w:w="11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0,551</w:t>
            </w:r>
          </w:p>
        </w:tc>
        <w:tc>
          <w:tcPr>
            <w:tcW w:type="dxa" w:w="13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3 / 3</w:t>
            </w:r>
          </w:p>
        </w:tc>
        <w:tc>
          <w:tcPr>
            <w:tcW w:type="dxa" w:w="2206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Etki sürüyor</w:t>
            </w:r>
          </w:p>
        </w:tc>
      </w:tr>
      <w:tr>
        <w:tc>
          <w:tcPr>
            <w:tcW w:type="dxa" w:w="26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no_USDTRY_12</w:t>
            </w:r>
          </w:p>
        </w:tc>
        <w:tc>
          <w:tcPr>
            <w:tcW w:type="dxa" w:w="10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12</w:t>
            </w:r>
          </w:p>
        </w:tc>
        <w:tc>
          <w:tcPr>
            <w:tcW w:type="dxa" w:w="11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0,449</w:t>
            </w:r>
          </w:p>
        </w:tc>
        <w:tc>
          <w:tcPr>
            <w:tcW w:type="dxa" w:w="11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0,551</w:t>
            </w:r>
          </w:p>
        </w:tc>
        <w:tc>
          <w:tcPr>
            <w:tcW w:type="dxa" w:w="13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3 / 3</w:t>
            </w:r>
          </w:p>
        </w:tc>
        <w:tc>
          <w:tcPr>
            <w:tcW w:type="dxa" w:w="2206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Etki sürüyor</w:t>
            </w:r>
          </w:p>
        </w:tc>
      </w:tr>
      <w:tr>
        <w:tc>
          <w:tcPr>
            <w:tcW w:type="dxa" w:w="26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330"/>
                <w:sz w:val="22"/>
                <w:szCs w:val="22"/>
              </w:rPr>
              <w:t xml:space="preserve">no_ext_10 (3 makro hariç)</w:t>
            </w:r>
          </w:p>
        </w:tc>
        <w:tc>
          <w:tcPr>
            <w:tcW w:type="dxa" w:w="10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330"/>
                <w:sz w:val="22"/>
                <w:szCs w:val="22"/>
              </w:rPr>
              <w:t xml:space="preserve">10</w:t>
            </w:r>
          </w:p>
        </w:tc>
        <w:tc>
          <w:tcPr>
            <w:tcW w:type="dxa" w:w="11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330"/>
                <w:sz w:val="22"/>
                <w:szCs w:val="22"/>
              </w:rPr>
              <w:t xml:space="preserve">0,496</w:t>
            </w:r>
          </w:p>
        </w:tc>
        <w:tc>
          <w:tcPr>
            <w:tcW w:type="dxa" w:w="11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330"/>
                <w:sz w:val="22"/>
                <w:szCs w:val="22"/>
              </w:rPr>
              <w:t xml:space="preserve">0,504</w:t>
            </w:r>
          </w:p>
        </w:tc>
        <w:tc>
          <w:tcPr>
            <w:tcW w:type="dxa" w:w="13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6A3E"/>
                <w:sz w:val="22"/>
                <w:szCs w:val="22"/>
              </w:rPr>
              <w:t xml:space="preserve">0 / 15</w:t>
            </w:r>
          </w:p>
        </w:tc>
        <w:tc>
          <w:tcPr>
            <w:tcW w:type="dxa" w:w="2206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F6A3E"/>
                <w:sz w:val="22"/>
                <w:szCs w:val="22"/>
              </w:rPr>
              <w:t xml:space="preserve">Anti-pred kayboldu</w:t>
            </w:r>
          </w:p>
        </w:tc>
      </w:tr>
    </w:tbl>
    <w:p>
      <w:pPr>
        <w:spacing w:after="60" w:before="280"/>
        <w:jc w:val="center"/>
      </w:pPr>
      <w:r>
        <w:drawing>
          <wp:inline distT="0" distB="0" distL="0" distR="0">
            <wp:extent cx="4953000" cy="2952750"/>
            <wp:effectExtent t="0" r="0" b="0" l="0"/>
            <wp:docPr id="1" name="04_Feature_Ablation_Bar.png" descr="Şekil 7. Feature ablasyonu: full_13 vs no_ext_10" title="Şekil 7. Feature ablasyonu: full_13 vs no_ext_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top w:val="single" w:color="B68900" w:sz="6" w:space="4"/>
        </w:pBdr>
        <w:spacing w:after="280" w:before="0"/>
        <w:jc w:val="center"/>
      </w:pPr>
      <w:r>
        <w:rPr>
          <w:rFonts w:ascii="Cambria" w:cs="Cambria" w:eastAsia="Cambria" w:hAnsi="Cambria"/>
          <w:i/>
          <w:iCs/>
          <w:color w:val="5B6273"/>
          <w:sz w:val="18"/>
          <w:szCs w:val="18"/>
        </w:rPr>
        <w:t xml:space="preserve">Şekil 7. Feature ablasyonu: full_13 vs no_ext_10</w:t>
      </w:r>
    </w:p>
    <w:p>
      <w:pPr>
        <w:pStyle w:val="Heading2"/>
        <w:pBdr>
          <w:bottom w:val="single" w:color="B68900" w:sz="8" w:space="4"/>
        </w:pBdr>
        <w:spacing w:after="140" w:before="360"/>
      </w:pPr>
      <w:r>
        <w:rPr>
          <w:rFonts w:ascii="Cambria" w:cs="Cambria" w:eastAsia="Cambria" w:hAnsi="Cambria"/>
          <w:b/>
          <w:bCs/>
          <w:color w:val="0B2545"/>
          <w:sz w:val="28"/>
          <w:szCs w:val="28"/>
        </w:rPr>
        <w:t xml:space="preserve">4.5 IN_LEN Ablasyonu — Pencere Bağımlılığı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00"/>
        <w:gridCol w:w="1100"/>
        <w:gridCol w:w="1100"/>
        <w:gridCol w:w="1100"/>
        <w:gridCol w:w="1700"/>
        <w:gridCol w:w="2406"/>
      </w:tblGrid>
      <w:tr>
        <w:trPr>
          <w:tblHeader/>
        </w:trPr>
        <w:tc>
          <w:tcPr>
            <w:tcW w:type="dxa" w:w="1100"/>
            <w:tcBorders>
              <w:top w:val="single" w:color="0B2545" w:sz="12"/>
              <w:left w:val="single" w:color="0B2545" w:sz="4"/>
              <w:bottom w:val="single" w:color="0B2545" w:sz="12"/>
              <w:right w:val="single" w:color="0B2545" w:sz="4"/>
            </w:tcBorders>
            <w:shd w:fill="0B2545" w:val="clear"/>
            <w:tcMar>
              <w:top w:type="dxa" w:w="130"/>
              <w:left w:type="dxa" w:w="160"/>
              <w:bottom w:type="dxa" w:w="13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0"/>
                <w:sz w:val="19"/>
                <w:szCs w:val="19"/>
              </w:rPr>
              <w:t xml:space="preserve">IN_LEN</w:t>
            </w:r>
          </w:p>
        </w:tc>
        <w:tc>
          <w:tcPr>
            <w:tcW w:type="dxa" w:w="800"/>
            <w:tcBorders>
              <w:top w:val="single" w:color="0B2545" w:sz="12"/>
              <w:left w:val="single" w:color="0B2545" w:sz="4"/>
              <w:bottom w:val="single" w:color="0B2545" w:sz="12"/>
              <w:right w:val="single" w:color="0B2545" w:sz="4"/>
            </w:tcBorders>
            <w:shd w:fill="0B2545" w:val="clear"/>
            <w:tcMar>
              <w:top w:type="dxa" w:w="130"/>
              <w:left w:type="dxa" w:w="160"/>
              <w:bottom w:type="dxa" w:w="13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0"/>
                <w:sz w:val="19"/>
                <w:szCs w:val="19"/>
              </w:rPr>
              <w:t xml:space="preserve">n</w:t>
            </w:r>
          </w:p>
        </w:tc>
        <w:tc>
          <w:tcPr>
            <w:tcW w:type="dxa" w:w="1100"/>
            <w:tcBorders>
              <w:top w:val="single" w:color="0B2545" w:sz="12"/>
              <w:left w:val="single" w:color="0B2545" w:sz="4"/>
              <w:bottom w:val="single" w:color="0B2545" w:sz="12"/>
              <w:right w:val="single" w:color="0B2545" w:sz="4"/>
            </w:tcBorders>
            <w:shd w:fill="0B2545" w:val="clear"/>
            <w:tcMar>
              <w:top w:type="dxa" w:w="130"/>
              <w:left w:type="dxa" w:w="160"/>
              <w:bottom w:type="dxa" w:w="13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0"/>
                <w:sz w:val="19"/>
                <w:szCs w:val="19"/>
              </w:rPr>
              <w:t xml:space="preserve">Naive</w:t>
            </w:r>
          </w:p>
        </w:tc>
        <w:tc>
          <w:tcPr>
            <w:tcW w:type="dxa" w:w="1100"/>
            <w:tcBorders>
              <w:top w:val="single" w:color="0B2545" w:sz="12"/>
              <w:left w:val="single" w:color="0B2545" w:sz="4"/>
              <w:bottom w:val="single" w:color="0B2545" w:sz="12"/>
              <w:right w:val="single" w:color="0B2545" w:sz="4"/>
            </w:tcBorders>
            <w:shd w:fill="0B2545" w:val="clear"/>
            <w:tcMar>
              <w:top w:type="dxa" w:w="130"/>
              <w:left w:type="dxa" w:w="160"/>
              <w:bottom w:type="dxa" w:w="13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0"/>
                <w:sz w:val="19"/>
                <w:szCs w:val="19"/>
              </w:rPr>
              <w:t xml:space="preserve">Mean Acc</w:t>
            </w:r>
          </w:p>
        </w:tc>
        <w:tc>
          <w:tcPr>
            <w:tcW w:type="dxa" w:w="1100"/>
            <w:tcBorders>
              <w:top w:val="single" w:color="0B2545" w:sz="12"/>
              <w:left w:val="single" w:color="0B2545" w:sz="4"/>
              <w:bottom w:val="single" w:color="0B2545" w:sz="12"/>
              <w:right w:val="single" w:color="0B2545" w:sz="4"/>
            </w:tcBorders>
            <w:shd w:fill="0B2545" w:val="clear"/>
            <w:tcMar>
              <w:top w:type="dxa" w:w="130"/>
              <w:left w:type="dxa" w:w="160"/>
              <w:bottom w:type="dxa" w:w="13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0"/>
                <w:sz w:val="19"/>
                <w:szCs w:val="19"/>
              </w:rPr>
              <w:t xml:space="preserve">Mean Flip</w:t>
            </w:r>
          </w:p>
        </w:tc>
        <w:tc>
          <w:tcPr>
            <w:tcW w:type="dxa" w:w="1700"/>
            <w:tcBorders>
              <w:top w:val="single" w:color="0B2545" w:sz="12"/>
              <w:left w:val="single" w:color="0B2545" w:sz="4"/>
              <w:bottom w:val="single" w:color="0B2545" w:sz="12"/>
              <w:right w:val="single" w:color="0B2545" w:sz="4"/>
            </w:tcBorders>
            <w:shd w:fill="0B2545" w:val="clear"/>
            <w:tcMar>
              <w:top w:type="dxa" w:w="130"/>
              <w:left w:type="dxa" w:w="160"/>
              <w:bottom w:type="dxa" w:w="13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0"/>
                <w:sz w:val="19"/>
                <w:szCs w:val="19"/>
              </w:rPr>
              <w:t xml:space="preserve">flip &gt; naive</w:t>
            </w:r>
          </w:p>
        </w:tc>
        <w:tc>
          <w:tcPr>
            <w:tcW w:type="dxa" w:w="2406"/>
            <w:tcBorders>
              <w:top w:val="single" w:color="0B2545" w:sz="12"/>
              <w:left w:val="single" w:color="0B2545" w:sz="4"/>
              <w:bottom w:val="single" w:color="0B2545" w:sz="12"/>
              <w:right w:val="single" w:color="0B2545" w:sz="4"/>
            </w:tcBorders>
            <w:shd w:fill="0B2545" w:val="clear"/>
            <w:tcMar>
              <w:top w:type="dxa" w:w="130"/>
              <w:left w:type="dxa" w:w="160"/>
              <w:bottom w:type="dxa" w:w="13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0"/>
                <w:sz w:val="19"/>
                <w:szCs w:val="19"/>
              </w:rPr>
              <w:t xml:space="preserve">strict anti-pred</w:t>
            </w:r>
          </w:p>
        </w:tc>
      </w:tr>
      <w:tr>
        <w:tc>
          <w:tcPr>
            <w:tcW w:type="dxa" w:w="11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2</w:t>
            </w:r>
          </w:p>
        </w:tc>
        <w:tc>
          <w:tcPr>
            <w:tcW w:type="dxa" w:w="8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15</w:t>
            </w:r>
          </w:p>
        </w:tc>
        <w:tc>
          <w:tcPr>
            <w:tcW w:type="dxa" w:w="11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0,515</w:t>
            </w:r>
          </w:p>
        </w:tc>
        <w:tc>
          <w:tcPr>
            <w:tcW w:type="dxa" w:w="11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0,485</w:t>
            </w:r>
          </w:p>
        </w:tc>
        <w:tc>
          <w:tcPr>
            <w:tcW w:type="dxa" w:w="11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0,515</w:t>
            </w:r>
          </w:p>
        </w:tc>
        <w:tc>
          <w:tcPr>
            <w:tcW w:type="dxa" w:w="17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8 / 15</w:t>
            </w:r>
          </w:p>
        </w:tc>
        <w:tc>
          <w:tcPr>
            <w:tcW w:type="dxa" w:w="2406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8 / 15</w:t>
            </w:r>
          </w:p>
        </w:tc>
      </w:tr>
      <w:tr>
        <w:tc>
          <w:tcPr>
            <w:tcW w:type="dxa" w:w="11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5</w:t>
            </w:r>
          </w:p>
        </w:tc>
        <w:tc>
          <w:tcPr>
            <w:tcW w:type="dxa" w:w="8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15</w:t>
            </w:r>
          </w:p>
        </w:tc>
        <w:tc>
          <w:tcPr>
            <w:tcW w:type="dxa" w:w="11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0,515</w:t>
            </w:r>
          </w:p>
        </w:tc>
        <w:tc>
          <w:tcPr>
            <w:tcW w:type="dxa" w:w="11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0,515</w:t>
            </w:r>
          </w:p>
        </w:tc>
        <w:tc>
          <w:tcPr>
            <w:tcW w:type="dxa" w:w="11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0,485</w:t>
            </w:r>
          </w:p>
        </w:tc>
        <w:tc>
          <w:tcPr>
            <w:tcW w:type="dxa" w:w="17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0 / 15</w:t>
            </w:r>
          </w:p>
        </w:tc>
        <w:tc>
          <w:tcPr>
            <w:tcW w:type="dxa" w:w="2406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0 / 15</w:t>
            </w:r>
          </w:p>
        </w:tc>
      </w:tr>
      <w:tr>
        <w:tc>
          <w:tcPr>
            <w:tcW w:type="dxa" w:w="11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10</w:t>
            </w:r>
          </w:p>
        </w:tc>
        <w:tc>
          <w:tcPr>
            <w:tcW w:type="dxa" w:w="8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15</w:t>
            </w:r>
          </w:p>
        </w:tc>
        <w:tc>
          <w:tcPr>
            <w:tcW w:type="dxa" w:w="11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0,484</w:t>
            </w:r>
          </w:p>
        </w:tc>
        <w:tc>
          <w:tcPr>
            <w:tcW w:type="dxa" w:w="11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0,522</w:t>
            </w:r>
          </w:p>
        </w:tc>
        <w:tc>
          <w:tcPr>
            <w:tcW w:type="dxa" w:w="11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0,478</w:t>
            </w:r>
          </w:p>
        </w:tc>
        <w:tc>
          <w:tcPr>
            <w:tcW w:type="dxa" w:w="17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6 / 15</w:t>
            </w:r>
          </w:p>
        </w:tc>
        <w:tc>
          <w:tcPr>
            <w:tcW w:type="dxa" w:w="2406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0 / 15</w:t>
            </w:r>
          </w:p>
        </w:tc>
      </w:tr>
    </w:tbl>
    <w:p>
      <w:pPr>
        <w:spacing w:after="80" w:before="80" w:line="320"/>
      </w:pPr>
      <w:r>
        <w:rPr>
          <w:rFonts w:ascii="Calibri" w:cs="Calibri" w:eastAsia="Calibri" w:hAnsi="Calibri"/>
          <w:color w:val="1F2330"/>
          <w:sz w:val="22"/>
          <w:szCs w:val="22"/>
        </w:rPr>
        <w:t xml:space="preserve">Anti-prediktif etki sadece IN_LEN = 2’de sıkı kriterle gerçekleşmektedir. IN_LEN = 5’te etki tamamen kaybolur; IN_LEN = 10’da gevşek anlamda 6/15 flip &gt; Naive olsa da strict kriter 0/15’dir. Bu bulgu, davranışın dönemsel ve pencere-spesifik olduğunu, evrensel olmadığını gösterir.</w:t>
      </w:r>
    </w:p>
    <w:p>
      <w:pPr>
        <w:spacing w:after="60" w:before="280"/>
        <w:jc w:val="center"/>
      </w:pPr>
      <w:r>
        <w:drawing>
          <wp:inline distT="0" distB="0" distL="0" distR="0">
            <wp:extent cx="4953000" cy="2952750"/>
            <wp:effectExtent t="0" r="0" b="0" l="0"/>
            <wp:docPr id="1" name="15_IN_LEN_Ablasyonu.png" descr="Şekil 8. IN_LEN ablasyonu (2 / 5 / 10)" title="Şekil 8. IN_LEN ablasyonu (2 / 5 / 10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top w:val="single" w:color="B68900" w:sz="6" w:space="4"/>
        </w:pBdr>
        <w:spacing w:after="280" w:before="0"/>
        <w:jc w:val="center"/>
      </w:pPr>
      <w:r>
        <w:rPr>
          <w:rFonts w:ascii="Cambria" w:cs="Cambria" w:eastAsia="Cambria" w:hAnsi="Cambria"/>
          <w:i/>
          <w:iCs/>
          <w:color w:val="5B6273"/>
          <w:sz w:val="18"/>
          <w:szCs w:val="18"/>
        </w:rPr>
        <w:t xml:space="preserve">Şekil 8. IN_LEN ablasyonu (2 / 5 / 10)</w:t>
      </w:r>
    </w:p>
    <w:p>
      <w:pPr>
        <w:pStyle w:val="Heading2"/>
        <w:pBdr>
          <w:bottom w:val="single" w:color="B68900" w:sz="8" w:space="4"/>
        </w:pBdr>
        <w:spacing w:after="140" w:before="360"/>
      </w:pPr>
      <w:r>
        <w:rPr>
          <w:rFonts w:ascii="Cambria" w:cs="Cambria" w:eastAsia="Cambria" w:hAnsi="Cambria"/>
          <w:b/>
          <w:bCs/>
          <w:color w:val="0B2545"/>
          <w:sz w:val="28"/>
          <w:szCs w:val="28"/>
        </w:rPr>
        <w:t xml:space="preserve">4.6 BES Fon Sonuçları (THYAO-Spesifiklik)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000"/>
        <w:gridCol w:w="1100"/>
        <w:gridCol w:w="1100"/>
        <w:gridCol w:w="1100"/>
        <w:gridCol w:w="1100"/>
        <w:gridCol w:w="2706"/>
      </w:tblGrid>
      <w:tr>
        <w:trPr>
          <w:tblHeader/>
        </w:trPr>
        <w:tc>
          <w:tcPr>
            <w:tcW w:type="dxa" w:w="1100"/>
            <w:tcBorders>
              <w:top w:val="single" w:color="0B2545" w:sz="12"/>
              <w:left w:val="single" w:color="0B2545" w:sz="4"/>
              <w:bottom w:val="single" w:color="0B2545" w:sz="12"/>
              <w:right w:val="single" w:color="0B2545" w:sz="4"/>
            </w:tcBorders>
            <w:shd w:fill="0B2545" w:val="clear"/>
            <w:tcMar>
              <w:top w:type="dxa" w:w="130"/>
              <w:left w:type="dxa" w:w="160"/>
              <w:bottom w:type="dxa" w:w="13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0"/>
                <w:sz w:val="19"/>
                <w:szCs w:val="19"/>
              </w:rPr>
              <w:t xml:space="preserve">Fon</w:t>
            </w:r>
          </w:p>
        </w:tc>
        <w:tc>
          <w:tcPr>
            <w:tcW w:type="dxa" w:w="1000"/>
            <w:tcBorders>
              <w:top w:val="single" w:color="0B2545" w:sz="12"/>
              <w:left w:val="single" w:color="0B2545" w:sz="4"/>
              <w:bottom w:val="single" w:color="0B2545" w:sz="12"/>
              <w:right w:val="single" w:color="0B2545" w:sz="4"/>
            </w:tcBorders>
            <w:shd w:fill="0B2545" w:val="clear"/>
            <w:tcMar>
              <w:top w:type="dxa" w:w="130"/>
              <w:left w:type="dxa" w:w="160"/>
              <w:bottom w:type="dxa" w:w="13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0"/>
                <w:sz w:val="19"/>
                <w:szCs w:val="19"/>
              </w:rPr>
              <w:t xml:space="preserve">Naive</w:t>
            </w:r>
          </w:p>
        </w:tc>
        <w:tc>
          <w:tcPr>
            <w:tcW w:type="dxa" w:w="1100"/>
            <w:tcBorders>
              <w:top w:val="single" w:color="0B2545" w:sz="12"/>
              <w:left w:val="single" w:color="0B2545" w:sz="4"/>
              <w:bottom w:val="single" w:color="0B2545" w:sz="12"/>
              <w:right w:val="single" w:color="0B2545" w:sz="4"/>
            </w:tcBorders>
            <w:shd w:fill="0B2545" w:val="clear"/>
            <w:tcMar>
              <w:top w:type="dxa" w:w="130"/>
              <w:left w:type="dxa" w:w="160"/>
              <w:bottom w:type="dxa" w:w="13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0"/>
                <w:sz w:val="19"/>
                <w:szCs w:val="19"/>
              </w:rPr>
              <w:t xml:space="preserve">Mean Acc</w:t>
            </w:r>
          </w:p>
        </w:tc>
        <w:tc>
          <w:tcPr>
            <w:tcW w:type="dxa" w:w="1100"/>
            <w:tcBorders>
              <w:top w:val="single" w:color="0B2545" w:sz="12"/>
              <w:left w:val="single" w:color="0B2545" w:sz="4"/>
              <w:bottom w:val="single" w:color="0B2545" w:sz="12"/>
              <w:right w:val="single" w:color="0B2545" w:sz="4"/>
            </w:tcBorders>
            <w:shd w:fill="0B2545" w:val="clear"/>
            <w:tcMar>
              <w:top w:type="dxa" w:w="130"/>
              <w:left w:type="dxa" w:w="160"/>
              <w:bottom w:type="dxa" w:w="13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0"/>
                <w:sz w:val="19"/>
                <w:szCs w:val="19"/>
              </w:rPr>
              <w:t xml:space="preserve">Mean Flip</w:t>
            </w:r>
          </w:p>
        </w:tc>
        <w:tc>
          <w:tcPr>
            <w:tcW w:type="dxa" w:w="1100"/>
            <w:tcBorders>
              <w:top w:val="single" w:color="0B2545" w:sz="12"/>
              <w:left w:val="single" w:color="0B2545" w:sz="4"/>
              <w:bottom w:val="single" w:color="0B2545" w:sz="12"/>
              <w:right w:val="single" w:color="0B2545" w:sz="4"/>
            </w:tcBorders>
            <w:shd w:fill="0B2545" w:val="clear"/>
            <w:tcMar>
              <w:top w:type="dxa" w:w="130"/>
              <w:left w:type="dxa" w:w="160"/>
              <w:bottom w:type="dxa" w:w="13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0"/>
                <w:sz w:val="19"/>
                <w:szCs w:val="19"/>
              </w:rPr>
              <w:t xml:space="preserve">flip_wins</w:t>
            </w:r>
          </w:p>
        </w:tc>
        <w:tc>
          <w:tcPr>
            <w:tcW w:type="dxa" w:w="1100"/>
            <w:tcBorders>
              <w:top w:val="single" w:color="0B2545" w:sz="12"/>
              <w:left w:val="single" w:color="0B2545" w:sz="4"/>
              <w:bottom w:val="single" w:color="0B2545" w:sz="12"/>
              <w:right w:val="single" w:color="0B2545" w:sz="4"/>
            </w:tcBorders>
            <w:shd w:fill="0B2545" w:val="clear"/>
            <w:tcMar>
              <w:top w:type="dxa" w:w="130"/>
              <w:left w:type="dxa" w:w="160"/>
              <w:bottom w:type="dxa" w:w="13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0"/>
                <w:sz w:val="19"/>
                <w:szCs w:val="19"/>
              </w:rPr>
              <w:t xml:space="preserve">mc_count</w:t>
            </w:r>
          </w:p>
        </w:tc>
        <w:tc>
          <w:tcPr>
            <w:tcW w:type="dxa" w:w="2706"/>
            <w:tcBorders>
              <w:top w:val="single" w:color="0B2545" w:sz="12"/>
              <w:left w:val="single" w:color="0B2545" w:sz="4"/>
              <w:bottom w:val="single" w:color="0B2545" w:sz="12"/>
              <w:right w:val="single" w:color="0B2545" w:sz="4"/>
            </w:tcBorders>
            <w:shd w:fill="0B2545" w:val="clear"/>
            <w:tcMar>
              <w:top w:type="dxa" w:w="130"/>
              <w:left w:type="dxa" w:w="160"/>
              <w:bottom w:type="dxa" w:w="13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0"/>
                <w:sz w:val="19"/>
                <w:szCs w:val="19"/>
              </w:rPr>
              <w:t xml:space="preserve">Yorum</w:t>
            </w:r>
          </w:p>
        </w:tc>
      </w:tr>
      <w:tr>
        <w:tc>
          <w:tcPr>
            <w:tcW w:type="dxa" w:w="11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ALZ</w:t>
            </w:r>
          </w:p>
        </w:tc>
        <w:tc>
          <w:tcPr>
            <w:tcW w:type="dxa" w:w="10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1,000</w:t>
            </w:r>
          </w:p>
        </w:tc>
        <w:tc>
          <w:tcPr>
            <w:tcW w:type="dxa" w:w="11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1,000</w:t>
            </w:r>
          </w:p>
        </w:tc>
        <w:tc>
          <w:tcPr>
            <w:tcW w:type="dxa" w:w="11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0,000</w:t>
            </w:r>
          </w:p>
        </w:tc>
        <w:tc>
          <w:tcPr>
            <w:tcW w:type="dxa" w:w="11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0 / 15</w:t>
            </w:r>
          </w:p>
        </w:tc>
        <w:tc>
          <w:tcPr>
            <w:tcW w:type="dxa" w:w="11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15 / 15</w:t>
            </w:r>
          </w:p>
        </w:tc>
        <w:tc>
          <w:tcPr>
            <w:tcW w:type="dxa" w:w="2706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Dejenerate: %100 Up, CW=NULL fallback</w:t>
            </w:r>
          </w:p>
        </w:tc>
      </w:tr>
      <w:tr>
        <w:tc>
          <w:tcPr>
            <w:tcW w:type="dxa" w:w="11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AZS</w:t>
            </w:r>
          </w:p>
        </w:tc>
        <w:tc>
          <w:tcPr>
            <w:tcW w:type="dxa" w:w="10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0,743</w:t>
            </w:r>
          </w:p>
        </w:tc>
        <w:tc>
          <w:tcPr>
            <w:tcW w:type="dxa" w:w="11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0,619</w:t>
            </w:r>
          </w:p>
        </w:tc>
        <w:tc>
          <w:tcPr>
            <w:tcW w:type="dxa" w:w="11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0,381</w:t>
            </w:r>
          </w:p>
        </w:tc>
        <w:tc>
          <w:tcPr>
            <w:tcW w:type="dxa" w:w="11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0 / 15</w:t>
            </w:r>
          </w:p>
        </w:tc>
        <w:tc>
          <w:tcPr>
            <w:tcW w:type="dxa" w:w="11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1 / 15</w:t>
            </w:r>
          </w:p>
        </w:tc>
        <w:tc>
          <w:tcPr>
            <w:tcW w:type="dxa" w:w="2706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Doğru yön, Naive altı</w:t>
            </w:r>
          </w:p>
        </w:tc>
      </w:tr>
      <w:tr>
        <w:tc>
          <w:tcPr>
            <w:tcW w:type="dxa" w:w="11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AMZ</w:t>
            </w:r>
          </w:p>
        </w:tc>
        <w:tc>
          <w:tcPr>
            <w:tcW w:type="dxa" w:w="10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0,800</w:t>
            </w:r>
          </w:p>
        </w:tc>
        <w:tc>
          <w:tcPr>
            <w:tcW w:type="dxa" w:w="11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0,581</w:t>
            </w:r>
          </w:p>
        </w:tc>
        <w:tc>
          <w:tcPr>
            <w:tcW w:type="dxa" w:w="11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0,419</w:t>
            </w:r>
          </w:p>
        </w:tc>
        <w:tc>
          <w:tcPr>
            <w:tcW w:type="dxa" w:w="11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0 / 15</w:t>
            </w:r>
          </w:p>
        </w:tc>
        <w:tc>
          <w:tcPr>
            <w:tcW w:type="dxa" w:w="11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0 / 15</w:t>
            </w:r>
          </w:p>
        </w:tc>
        <w:tc>
          <w:tcPr>
            <w:tcW w:type="dxa" w:w="2706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Doğru yön, Naive altı</w:t>
            </w:r>
          </w:p>
        </w:tc>
      </w:tr>
    </w:tbl>
    <w:p>
      <w:pPr>
        <w:spacing w:after="80" w:before="80" w:line="320"/>
      </w:pPr>
      <w:r>
        <w:rPr>
          <w:rFonts w:ascii="Calibri" w:cs="Calibri" w:eastAsia="Calibri" w:hAnsi="Calibri"/>
          <w:color w:val="1F2330"/>
          <w:sz w:val="22"/>
          <w:szCs w:val="22"/>
        </w:rPr>
        <w:t xml:space="preserve">BES fonlarında (haftalık veri) anti-prediktif davranış gözlenmemiştir. Bulgu THYAO günlük verisine özgüdür; bu, anti-prediktif rejimin günlük frekansta makro değişken etkileşimleriyle birlikte var olduğunu destekler.</w:t>
      </w:r>
    </w:p>
    <w:p>
      <w:pPr>
        <w:pStyle w:val="Heading2"/>
        <w:pBdr>
          <w:bottom w:val="single" w:color="B68900" w:sz="8" w:space="4"/>
        </w:pBdr>
        <w:spacing w:after="140" w:before="360"/>
      </w:pPr>
      <w:r>
        <w:rPr>
          <w:rFonts w:ascii="Cambria" w:cs="Cambria" w:eastAsia="Cambria" w:hAnsi="Cambria"/>
          <w:b/>
          <w:bCs/>
          <w:color w:val="0B2545"/>
          <w:sz w:val="28"/>
          <w:szCs w:val="28"/>
        </w:rPr>
        <w:t xml:space="preserve">4.7 Sektörel Doğrulama (Sigorta vs Holding)</w:t>
      </w:r>
    </w:p>
    <w:p>
      <w:pPr>
        <w:spacing w:after="80" w:before="80" w:line="320"/>
      </w:pPr>
      <w:r>
        <w:rPr>
          <w:rFonts w:ascii="Calibri" w:cs="Calibri" w:eastAsia="Calibri" w:hAnsi="Calibri"/>
          <w:color w:val="1F2330"/>
          <w:sz w:val="22"/>
          <w:szCs w:val="22"/>
        </w:rPr>
        <w:t xml:space="preserve">Sigorta (n = 5) vs Holding (n = 5) hisseleri sıkı kriter (flip &gt; Naive ∧ acc ≤ Naive) altında karşılaştırılmıştır. Sigorta hisselerinden AKGRT (4/5 sıkı), ANSGR (5/5 sıkı) sıkı anti-prediktif sınıfa girer; holding sektöründe tek bir hisse dahi sıkı anti-pred değildir.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900"/>
        <w:gridCol w:w="900"/>
        <w:gridCol w:w="1000"/>
        <w:gridCol w:w="1000"/>
        <w:gridCol w:w="1500"/>
        <w:gridCol w:w="2806"/>
      </w:tblGrid>
      <w:tr>
        <w:trPr>
          <w:tblHeader/>
        </w:trPr>
        <w:tc>
          <w:tcPr>
            <w:tcW w:type="dxa" w:w="1200"/>
            <w:tcBorders>
              <w:top w:val="single" w:color="0B2545" w:sz="12"/>
              <w:left w:val="single" w:color="0B2545" w:sz="4"/>
              <w:bottom w:val="single" w:color="0B2545" w:sz="12"/>
              <w:right w:val="single" w:color="0B2545" w:sz="4"/>
            </w:tcBorders>
            <w:shd w:fill="0B2545" w:val="clear"/>
            <w:tcMar>
              <w:top w:type="dxa" w:w="130"/>
              <w:left w:type="dxa" w:w="160"/>
              <w:bottom w:type="dxa" w:w="13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0"/>
                <w:sz w:val="19"/>
                <w:szCs w:val="19"/>
              </w:rPr>
              <w:t xml:space="preserve">Hisse</w:t>
            </w:r>
          </w:p>
        </w:tc>
        <w:tc>
          <w:tcPr>
            <w:tcW w:type="dxa" w:w="900"/>
            <w:tcBorders>
              <w:top w:val="single" w:color="0B2545" w:sz="12"/>
              <w:left w:val="single" w:color="0B2545" w:sz="4"/>
              <w:bottom w:val="single" w:color="0B2545" w:sz="12"/>
              <w:right w:val="single" w:color="0B2545" w:sz="4"/>
            </w:tcBorders>
            <w:shd w:fill="0B2545" w:val="clear"/>
            <w:tcMar>
              <w:top w:type="dxa" w:w="130"/>
              <w:left w:type="dxa" w:w="160"/>
              <w:bottom w:type="dxa" w:w="13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0"/>
                <w:sz w:val="19"/>
                <w:szCs w:val="19"/>
              </w:rPr>
              <w:t xml:space="preserve">Sektör</w:t>
            </w:r>
          </w:p>
        </w:tc>
        <w:tc>
          <w:tcPr>
            <w:tcW w:type="dxa" w:w="900"/>
            <w:tcBorders>
              <w:top w:val="single" w:color="0B2545" w:sz="12"/>
              <w:left w:val="single" w:color="0B2545" w:sz="4"/>
              <w:bottom w:val="single" w:color="0B2545" w:sz="12"/>
              <w:right w:val="single" w:color="0B2545" w:sz="4"/>
            </w:tcBorders>
            <w:shd w:fill="0B2545" w:val="clear"/>
            <w:tcMar>
              <w:top w:type="dxa" w:w="130"/>
              <w:left w:type="dxa" w:w="160"/>
              <w:bottom w:type="dxa" w:w="13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0"/>
                <w:sz w:val="19"/>
                <w:szCs w:val="19"/>
              </w:rPr>
              <w:t xml:space="preserve">Naive</w:t>
            </w:r>
          </w:p>
        </w:tc>
        <w:tc>
          <w:tcPr>
            <w:tcW w:type="dxa" w:w="1000"/>
            <w:tcBorders>
              <w:top w:val="single" w:color="0B2545" w:sz="12"/>
              <w:left w:val="single" w:color="0B2545" w:sz="4"/>
              <w:bottom w:val="single" w:color="0B2545" w:sz="12"/>
              <w:right w:val="single" w:color="0B2545" w:sz="4"/>
            </w:tcBorders>
            <w:shd w:fill="0B2545" w:val="clear"/>
            <w:tcMar>
              <w:top w:type="dxa" w:w="130"/>
              <w:left w:type="dxa" w:w="160"/>
              <w:bottom w:type="dxa" w:w="13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0"/>
                <w:sz w:val="19"/>
                <w:szCs w:val="19"/>
              </w:rPr>
              <w:t xml:space="preserve">Ort. Acc</w:t>
            </w:r>
          </w:p>
        </w:tc>
        <w:tc>
          <w:tcPr>
            <w:tcW w:type="dxa" w:w="1000"/>
            <w:tcBorders>
              <w:top w:val="single" w:color="0B2545" w:sz="12"/>
              <w:left w:val="single" w:color="0B2545" w:sz="4"/>
              <w:bottom w:val="single" w:color="0B2545" w:sz="12"/>
              <w:right w:val="single" w:color="0B2545" w:sz="4"/>
            </w:tcBorders>
            <w:shd w:fill="0B2545" w:val="clear"/>
            <w:tcMar>
              <w:top w:type="dxa" w:w="130"/>
              <w:left w:type="dxa" w:w="160"/>
              <w:bottom w:type="dxa" w:w="13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0"/>
                <w:sz w:val="19"/>
                <w:szCs w:val="19"/>
              </w:rPr>
              <w:t xml:space="preserve">Ort. Flip</w:t>
            </w:r>
          </w:p>
        </w:tc>
        <w:tc>
          <w:tcPr>
            <w:tcW w:type="dxa" w:w="1500"/>
            <w:tcBorders>
              <w:top w:val="single" w:color="0B2545" w:sz="12"/>
              <w:left w:val="single" w:color="0B2545" w:sz="4"/>
              <w:bottom w:val="single" w:color="0B2545" w:sz="12"/>
              <w:right w:val="single" w:color="0B2545" w:sz="4"/>
            </w:tcBorders>
            <w:shd w:fill="0B2545" w:val="clear"/>
            <w:tcMar>
              <w:top w:type="dxa" w:w="130"/>
              <w:left w:type="dxa" w:w="160"/>
              <w:bottom w:type="dxa" w:w="13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0"/>
                <w:sz w:val="19"/>
                <w:szCs w:val="19"/>
              </w:rPr>
              <w:t xml:space="preserve">strict_anti_pred</w:t>
            </w:r>
          </w:p>
        </w:tc>
        <w:tc>
          <w:tcPr>
            <w:tcW w:type="dxa" w:w="2806"/>
            <w:tcBorders>
              <w:top w:val="single" w:color="0B2545" w:sz="12"/>
              <w:left w:val="single" w:color="0B2545" w:sz="4"/>
              <w:bottom w:val="single" w:color="0B2545" w:sz="12"/>
              <w:right w:val="single" w:color="0B2545" w:sz="4"/>
            </w:tcBorders>
            <w:shd w:fill="0B2545" w:val="clear"/>
            <w:tcMar>
              <w:top w:type="dxa" w:w="130"/>
              <w:left w:type="dxa" w:w="160"/>
              <w:bottom w:type="dxa" w:w="13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0"/>
                <w:sz w:val="19"/>
                <w:szCs w:val="19"/>
              </w:rPr>
              <w:t xml:space="preserve">Sıkı Sınıf</w:t>
            </w:r>
          </w:p>
        </w:tc>
      </w:tr>
      <w:tr>
        <w:tc>
          <w:tcPr>
            <w:tcW w:type="dxa" w:w="12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330"/>
                <w:sz w:val="22"/>
                <w:szCs w:val="22"/>
              </w:rPr>
              <w:t xml:space="preserve">AKGRT.IS</w:t>
            </w:r>
          </w:p>
        </w:tc>
        <w:tc>
          <w:tcPr>
            <w:tcW w:type="dxa" w:w="9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F2330"/>
                <w:sz w:val="22"/>
                <w:szCs w:val="22"/>
              </w:rPr>
              <w:t xml:space="preserve">Sigorta</w:t>
            </w:r>
          </w:p>
        </w:tc>
        <w:tc>
          <w:tcPr>
            <w:tcW w:type="dxa" w:w="9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2"/>
                <w:szCs w:val="22"/>
              </w:rPr>
              <w:t xml:space="preserve">0,509</w:t>
            </w:r>
          </w:p>
        </w:tc>
        <w:tc>
          <w:tcPr>
            <w:tcW w:type="dxa" w:w="10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2"/>
                <w:szCs w:val="22"/>
              </w:rPr>
              <w:t xml:space="preserve">0,487</w:t>
            </w:r>
          </w:p>
        </w:tc>
        <w:tc>
          <w:tcPr>
            <w:tcW w:type="dxa" w:w="10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2"/>
                <w:szCs w:val="22"/>
              </w:rPr>
              <w:t xml:space="preserve">0,513</w:t>
            </w:r>
          </w:p>
        </w:tc>
        <w:tc>
          <w:tcPr>
            <w:tcW w:type="dxa" w:w="15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A03A2C"/>
                <w:sz w:val="22"/>
                <w:szCs w:val="22"/>
              </w:rPr>
              <w:t xml:space="preserve">4 / 5</w:t>
            </w:r>
          </w:p>
        </w:tc>
        <w:tc>
          <w:tcPr>
            <w:tcW w:type="dxa" w:w="2806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A03A2C"/>
                <w:sz w:val="22"/>
                <w:szCs w:val="22"/>
              </w:rPr>
              <w:t xml:space="preserve">EVET</w:t>
            </w:r>
          </w:p>
        </w:tc>
      </w:tr>
      <w:tr>
        <w:tc>
          <w:tcPr>
            <w:tcW w:type="dxa" w:w="12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330"/>
                <w:sz w:val="22"/>
                <w:szCs w:val="22"/>
              </w:rPr>
              <w:t xml:space="preserve">ANSGR.IS</w:t>
            </w:r>
          </w:p>
        </w:tc>
        <w:tc>
          <w:tcPr>
            <w:tcW w:type="dxa" w:w="9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F2330"/>
                <w:sz w:val="22"/>
                <w:szCs w:val="22"/>
              </w:rPr>
              <w:t xml:space="preserve">Sigorta</w:t>
            </w:r>
          </w:p>
        </w:tc>
        <w:tc>
          <w:tcPr>
            <w:tcW w:type="dxa" w:w="9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2"/>
                <w:szCs w:val="22"/>
              </w:rPr>
              <w:t xml:space="preserve">0,522</w:t>
            </w:r>
          </w:p>
        </w:tc>
        <w:tc>
          <w:tcPr>
            <w:tcW w:type="dxa" w:w="10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2"/>
                <w:szCs w:val="22"/>
              </w:rPr>
              <w:t xml:space="preserve">0,461</w:t>
            </w:r>
          </w:p>
        </w:tc>
        <w:tc>
          <w:tcPr>
            <w:tcW w:type="dxa" w:w="10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2"/>
                <w:szCs w:val="22"/>
              </w:rPr>
              <w:t xml:space="preserve">0,539</w:t>
            </w:r>
          </w:p>
        </w:tc>
        <w:tc>
          <w:tcPr>
            <w:tcW w:type="dxa" w:w="15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A03A2C"/>
                <w:sz w:val="22"/>
                <w:szCs w:val="22"/>
              </w:rPr>
              <w:t xml:space="preserve">5 / 5</w:t>
            </w:r>
          </w:p>
        </w:tc>
        <w:tc>
          <w:tcPr>
            <w:tcW w:type="dxa" w:w="2806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A03A2C"/>
                <w:sz w:val="22"/>
                <w:szCs w:val="22"/>
              </w:rPr>
              <w:t xml:space="preserve">EVET</w:t>
            </w:r>
          </w:p>
        </w:tc>
      </w:tr>
      <w:tr>
        <w:tc>
          <w:tcPr>
            <w:tcW w:type="dxa" w:w="12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RAYSG.IS</w:t>
            </w:r>
          </w:p>
        </w:tc>
        <w:tc>
          <w:tcPr>
            <w:tcW w:type="dxa" w:w="9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Sigorta</w:t>
            </w:r>
          </w:p>
        </w:tc>
        <w:tc>
          <w:tcPr>
            <w:tcW w:type="dxa" w:w="9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0,447</w:t>
            </w:r>
          </w:p>
        </w:tc>
        <w:tc>
          <w:tcPr>
            <w:tcW w:type="dxa" w:w="10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0,508</w:t>
            </w:r>
          </w:p>
        </w:tc>
        <w:tc>
          <w:tcPr>
            <w:tcW w:type="dxa" w:w="10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0,492</w:t>
            </w:r>
          </w:p>
        </w:tc>
        <w:tc>
          <w:tcPr>
            <w:tcW w:type="dxa" w:w="15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5 / 5</w:t>
            </w:r>
          </w:p>
        </w:tc>
        <w:tc>
          <w:tcPr>
            <w:tcW w:type="dxa" w:w="2806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gevşek (acc &gt; naive)</w:t>
            </w:r>
          </w:p>
        </w:tc>
      </w:tr>
      <w:tr>
        <w:tc>
          <w:tcPr>
            <w:tcW w:type="dxa" w:w="12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AGESA.IS</w:t>
            </w:r>
          </w:p>
        </w:tc>
        <w:tc>
          <w:tcPr>
            <w:tcW w:type="dxa" w:w="9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Sigorta</w:t>
            </w:r>
          </w:p>
        </w:tc>
        <w:tc>
          <w:tcPr>
            <w:tcW w:type="dxa" w:w="9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0,551</w:t>
            </w:r>
          </w:p>
        </w:tc>
        <w:tc>
          <w:tcPr>
            <w:tcW w:type="dxa" w:w="10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0,517</w:t>
            </w:r>
          </w:p>
        </w:tc>
        <w:tc>
          <w:tcPr>
            <w:tcW w:type="dxa" w:w="10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0,483</w:t>
            </w:r>
          </w:p>
        </w:tc>
        <w:tc>
          <w:tcPr>
            <w:tcW w:type="dxa" w:w="15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0 / 5</w:t>
            </w:r>
          </w:p>
        </w:tc>
        <w:tc>
          <w:tcPr>
            <w:tcW w:type="dxa" w:w="2806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HAYIR</w:t>
            </w:r>
          </w:p>
        </w:tc>
      </w:tr>
      <w:tr>
        <w:tc>
          <w:tcPr>
            <w:tcW w:type="dxa" w:w="12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TURSG.IS</w:t>
            </w:r>
          </w:p>
        </w:tc>
        <w:tc>
          <w:tcPr>
            <w:tcW w:type="dxa" w:w="9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Sigorta</w:t>
            </w:r>
          </w:p>
        </w:tc>
        <w:tc>
          <w:tcPr>
            <w:tcW w:type="dxa" w:w="9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0,513</w:t>
            </w:r>
          </w:p>
        </w:tc>
        <w:tc>
          <w:tcPr>
            <w:tcW w:type="dxa" w:w="10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0,525</w:t>
            </w:r>
          </w:p>
        </w:tc>
        <w:tc>
          <w:tcPr>
            <w:tcW w:type="dxa" w:w="10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0,475</w:t>
            </w:r>
          </w:p>
        </w:tc>
        <w:tc>
          <w:tcPr>
            <w:tcW w:type="dxa" w:w="15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0 / 5</w:t>
            </w:r>
          </w:p>
        </w:tc>
        <w:tc>
          <w:tcPr>
            <w:tcW w:type="dxa" w:w="2806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HAYIR</w:t>
            </w:r>
          </w:p>
        </w:tc>
      </w:tr>
      <w:tr>
        <w:tc>
          <w:tcPr>
            <w:tcW w:type="dxa" w:w="12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ALARK.IS</w:t>
            </w:r>
          </w:p>
        </w:tc>
        <w:tc>
          <w:tcPr>
            <w:tcW w:type="dxa" w:w="9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Holding</w:t>
            </w:r>
          </w:p>
        </w:tc>
        <w:tc>
          <w:tcPr>
            <w:tcW w:type="dxa" w:w="9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0,483</w:t>
            </w:r>
          </w:p>
        </w:tc>
        <w:tc>
          <w:tcPr>
            <w:tcW w:type="dxa" w:w="10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0,528</w:t>
            </w:r>
          </w:p>
        </w:tc>
        <w:tc>
          <w:tcPr>
            <w:tcW w:type="dxa" w:w="10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0,472</w:t>
            </w:r>
          </w:p>
        </w:tc>
        <w:tc>
          <w:tcPr>
            <w:tcW w:type="dxa" w:w="15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0</w:t>
            </w:r>
          </w:p>
        </w:tc>
        <w:tc>
          <w:tcPr>
            <w:tcW w:type="dxa" w:w="2806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model_wins</w:t>
            </w:r>
          </w:p>
        </w:tc>
      </w:tr>
      <w:tr>
        <w:tc>
          <w:tcPr>
            <w:tcW w:type="dxa" w:w="12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DOHOL.IS</w:t>
            </w:r>
          </w:p>
        </w:tc>
        <w:tc>
          <w:tcPr>
            <w:tcW w:type="dxa" w:w="9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Holding</w:t>
            </w:r>
          </w:p>
        </w:tc>
        <w:tc>
          <w:tcPr>
            <w:tcW w:type="dxa" w:w="9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0,543</w:t>
            </w:r>
          </w:p>
        </w:tc>
        <w:tc>
          <w:tcPr>
            <w:tcW w:type="dxa" w:w="10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0,488</w:t>
            </w:r>
          </w:p>
        </w:tc>
        <w:tc>
          <w:tcPr>
            <w:tcW w:type="dxa" w:w="10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0,512</w:t>
            </w:r>
          </w:p>
        </w:tc>
        <w:tc>
          <w:tcPr>
            <w:tcW w:type="dxa" w:w="15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0</w:t>
            </w:r>
          </w:p>
        </w:tc>
        <w:tc>
          <w:tcPr>
            <w:tcW w:type="dxa" w:w="2806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neutral</w:t>
            </w:r>
          </w:p>
        </w:tc>
      </w:tr>
      <w:tr>
        <w:tc>
          <w:tcPr>
            <w:tcW w:type="dxa" w:w="12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ENKAI.IS</w:t>
            </w:r>
          </w:p>
        </w:tc>
        <w:tc>
          <w:tcPr>
            <w:tcW w:type="dxa" w:w="9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Holding</w:t>
            </w:r>
          </w:p>
        </w:tc>
        <w:tc>
          <w:tcPr>
            <w:tcW w:type="dxa" w:w="9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0,543</w:t>
            </w:r>
          </w:p>
        </w:tc>
        <w:tc>
          <w:tcPr>
            <w:tcW w:type="dxa" w:w="10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0,472</w:t>
            </w:r>
          </w:p>
        </w:tc>
        <w:tc>
          <w:tcPr>
            <w:tcW w:type="dxa" w:w="10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0,528</w:t>
            </w:r>
          </w:p>
        </w:tc>
        <w:tc>
          <w:tcPr>
            <w:tcW w:type="dxa" w:w="15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0</w:t>
            </w:r>
          </w:p>
        </w:tc>
        <w:tc>
          <w:tcPr>
            <w:tcW w:type="dxa" w:w="2806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neutral</w:t>
            </w:r>
          </w:p>
        </w:tc>
      </w:tr>
      <w:tr>
        <w:tc>
          <w:tcPr>
            <w:tcW w:type="dxa" w:w="12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KCHOL.IS</w:t>
            </w:r>
          </w:p>
        </w:tc>
        <w:tc>
          <w:tcPr>
            <w:tcW w:type="dxa" w:w="9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Holding</w:t>
            </w:r>
          </w:p>
        </w:tc>
        <w:tc>
          <w:tcPr>
            <w:tcW w:type="dxa" w:w="9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0,513</w:t>
            </w:r>
          </w:p>
        </w:tc>
        <w:tc>
          <w:tcPr>
            <w:tcW w:type="dxa" w:w="10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0,504</w:t>
            </w:r>
          </w:p>
        </w:tc>
        <w:tc>
          <w:tcPr>
            <w:tcW w:type="dxa" w:w="10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0,496</w:t>
            </w:r>
          </w:p>
        </w:tc>
        <w:tc>
          <w:tcPr>
            <w:tcW w:type="dxa" w:w="15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0</w:t>
            </w:r>
          </w:p>
        </w:tc>
        <w:tc>
          <w:tcPr>
            <w:tcW w:type="dxa" w:w="2806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neutral</w:t>
            </w:r>
          </w:p>
        </w:tc>
      </w:tr>
      <w:tr>
        <w:tc>
          <w:tcPr>
            <w:tcW w:type="dxa" w:w="12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SAHOL.IS</w:t>
            </w:r>
          </w:p>
        </w:tc>
        <w:tc>
          <w:tcPr>
            <w:tcW w:type="dxa" w:w="9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Holding</w:t>
            </w:r>
          </w:p>
        </w:tc>
        <w:tc>
          <w:tcPr>
            <w:tcW w:type="dxa" w:w="9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0,478</w:t>
            </w:r>
          </w:p>
        </w:tc>
        <w:tc>
          <w:tcPr>
            <w:tcW w:type="dxa" w:w="10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0,513</w:t>
            </w:r>
          </w:p>
        </w:tc>
        <w:tc>
          <w:tcPr>
            <w:tcW w:type="dxa" w:w="10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0,487</w:t>
            </w:r>
          </w:p>
        </w:tc>
        <w:tc>
          <w:tcPr>
            <w:tcW w:type="dxa" w:w="15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0</w:t>
            </w:r>
          </w:p>
        </w:tc>
        <w:tc>
          <w:tcPr>
            <w:tcW w:type="dxa" w:w="2806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ambiguous</w:t>
            </w:r>
          </w:p>
        </w:tc>
      </w:tr>
    </w:tbl>
    <w:p>
      <w:pPr>
        <w:spacing w:after="80" w:before="80" w:line="320"/>
      </w:pPr>
      <w:r>
        <w:rPr>
          <w:rFonts w:ascii="Calibri" w:cs="Calibri" w:eastAsia="Calibri" w:hAnsi="Calibri"/>
          <w:color w:val="1F2330"/>
          <w:sz w:val="22"/>
          <w:szCs w:val="22"/>
        </w:rPr>
        <w:t xml:space="preserve">Sigorta 2/5 vs Holding 0/5: Fisher exact iki yanlı p ≈ 0,44 — istatistiksel anlamlılık eşiğinin altındadır. Bulgu "ön kanıt" düzeyindedir; ispat değildir ve sınırlama olarak raporlanmaktadır. Buna karşın sektörel kontrast YÖN olarak beklendiği gibidir (makro-hassas sektörde etki, holding kompozit yapısında etki yok).</w:t>
      </w:r>
    </w:p>
    <w:p>
      <w:pPr>
        <w:spacing w:after="60" w:before="280"/>
        <w:jc w:val="center"/>
      </w:pPr>
      <w:r>
        <w:drawing>
          <wp:inline distT="0" distB="0" distL="0" distR="0">
            <wp:extent cx="4953000" cy="2952750"/>
            <wp:effectExtent t="0" r="0" b="0" l="0"/>
            <wp:docPr id="1" name="10_Sektorel_Sıkı_Kriter_Bar.png" descr="Şekil 9. Sigorta vs Holding sıkı anti-prediktif sayıları" title="Şekil 9. Sigorta vs Holding sıkı anti-prediktif sayılar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top w:val="single" w:color="B68900" w:sz="6" w:space="4"/>
        </w:pBdr>
        <w:spacing w:after="280" w:before="0"/>
        <w:jc w:val="center"/>
      </w:pPr>
      <w:r>
        <w:rPr>
          <w:rFonts w:ascii="Cambria" w:cs="Cambria" w:eastAsia="Cambria" w:hAnsi="Cambria"/>
          <w:i/>
          <w:iCs/>
          <w:color w:val="5B6273"/>
          <w:sz w:val="18"/>
          <w:szCs w:val="18"/>
        </w:rPr>
        <w:t xml:space="preserve">Şekil 9. Sigorta vs Holding sıkı anti-prediktif sayıları</w:t>
      </w:r>
    </w:p>
    <w:p>
      <w:pPr>
        <w:spacing w:after="60" w:before="280"/>
        <w:jc w:val="center"/>
      </w:pPr>
      <w:r>
        <w:drawing>
          <wp:inline distT="0" distB="0" distL="0" distR="0">
            <wp:extent cx="4953000" cy="2952750"/>
            <wp:effectExtent t="0" r="0" b="0" l="0"/>
            <wp:docPr id="1" name="17_Sigorta_v1_vs_v2_Seed.png" descr="Şekil 10. Sigorta v1 vs v2: seed-fix sonrası varyans artışı (RAYSG std 6,7× iyileşti)" title="Şekil 10. Sigorta v1 vs v2: seed-fix sonrası varyans artışı (RAYSG std 6,7× iyileşti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top w:val="single" w:color="B68900" w:sz="6" w:space="4"/>
        </w:pBdr>
        <w:spacing w:after="280" w:before="0"/>
        <w:jc w:val="center"/>
      </w:pPr>
      <w:r>
        <w:rPr>
          <w:rFonts w:ascii="Cambria" w:cs="Cambria" w:eastAsia="Cambria" w:hAnsi="Cambria"/>
          <w:i/>
          <w:iCs/>
          <w:color w:val="5B6273"/>
          <w:sz w:val="18"/>
          <w:szCs w:val="18"/>
        </w:rPr>
        <w:t xml:space="preserve">Şekil 10. Sigorta v1 vs v2: seed-fix sonrası varyans artışı (RAYSG std 6,7× iyileşti)</w:t>
      </w:r>
    </w:p>
    <w:p>
      <w:pPr>
        <w:pStyle w:val="Heading2"/>
        <w:pBdr>
          <w:bottom w:val="single" w:color="B68900" w:sz="8" w:space="4"/>
        </w:pBdr>
        <w:spacing w:after="140" w:before="360"/>
      </w:pPr>
      <w:r>
        <w:rPr>
          <w:rFonts w:ascii="Cambria" w:cs="Cambria" w:eastAsia="Cambria" w:hAnsi="Cambria"/>
          <w:b/>
          <w:bCs/>
          <w:color w:val="0B2545"/>
          <w:sz w:val="28"/>
          <w:szCs w:val="28"/>
        </w:rPr>
        <w:t xml:space="preserve">4.8 Klasik ML Karşılaştırması (Negatif Kontrol)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100"/>
        <w:gridCol w:w="900"/>
        <w:gridCol w:w="900"/>
        <w:gridCol w:w="900"/>
        <w:gridCol w:w="1600"/>
        <w:gridCol w:w="1806"/>
      </w:tblGrid>
      <w:tr>
        <w:trPr>
          <w:tblHeader/>
        </w:trPr>
        <w:tc>
          <w:tcPr>
            <w:tcW w:type="dxa" w:w="1100"/>
            <w:tcBorders>
              <w:top w:val="single" w:color="0B2545" w:sz="12"/>
              <w:left w:val="single" w:color="0B2545" w:sz="4"/>
              <w:bottom w:val="single" w:color="0B2545" w:sz="12"/>
              <w:right w:val="single" w:color="0B2545" w:sz="4"/>
            </w:tcBorders>
            <w:shd w:fill="0B2545" w:val="clear"/>
            <w:tcMar>
              <w:top w:type="dxa" w:w="130"/>
              <w:left w:type="dxa" w:w="160"/>
              <w:bottom w:type="dxa" w:w="13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0"/>
                <w:sz w:val="19"/>
                <w:szCs w:val="19"/>
              </w:rPr>
              <w:t xml:space="preserve">Varlık</w:t>
            </w:r>
          </w:p>
        </w:tc>
        <w:tc>
          <w:tcPr>
            <w:tcW w:type="dxa" w:w="2100"/>
            <w:tcBorders>
              <w:top w:val="single" w:color="0B2545" w:sz="12"/>
              <w:left w:val="single" w:color="0B2545" w:sz="4"/>
              <w:bottom w:val="single" w:color="0B2545" w:sz="12"/>
              <w:right w:val="single" w:color="0B2545" w:sz="4"/>
            </w:tcBorders>
            <w:shd w:fill="0B2545" w:val="clear"/>
            <w:tcMar>
              <w:top w:type="dxa" w:w="130"/>
              <w:left w:type="dxa" w:w="160"/>
              <w:bottom w:type="dxa" w:w="13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0"/>
                <w:sz w:val="19"/>
                <w:szCs w:val="19"/>
              </w:rPr>
              <w:t xml:space="preserve">Model</w:t>
            </w:r>
          </w:p>
        </w:tc>
        <w:tc>
          <w:tcPr>
            <w:tcW w:type="dxa" w:w="900"/>
            <w:tcBorders>
              <w:top w:val="single" w:color="0B2545" w:sz="12"/>
              <w:left w:val="single" w:color="0B2545" w:sz="4"/>
              <w:bottom w:val="single" w:color="0B2545" w:sz="12"/>
              <w:right w:val="single" w:color="0B2545" w:sz="4"/>
            </w:tcBorders>
            <w:shd w:fill="0B2545" w:val="clear"/>
            <w:tcMar>
              <w:top w:type="dxa" w:w="130"/>
              <w:left w:type="dxa" w:w="160"/>
              <w:bottom w:type="dxa" w:w="13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0"/>
                <w:sz w:val="19"/>
                <w:szCs w:val="19"/>
              </w:rPr>
              <w:t xml:space="preserve">Acc</w:t>
            </w:r>
          </w:p>
        </w:tc>
        <w:tc>
          <w:tcPr>
            <w:tcW w:type="dxa" w:w="900"/>
            <w:tcBorders>
              <w:top w:val="single" w:color="0B2545" w:sz="12"/>
              <w:left w:val="single" w:color="0B2545" w:sz="4"/>
              <w:bottom w:val="single" w:color="0B2545" w:sz="12"/>
              <w:right w:val="single" w:color="0B2545" w:sz="4"/>
            </w:tcBorders>
            <w:shd w:fill="0B2545" w:val="clear"/>
            <w:tcMar>
              <w:top w:type="dxa" w:w="130"/>
              <w:left w:type="dxa" w:w="160"/>
              <w:bottom w:type="dxa" w:w="13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0"/>
                <w:sz w:val="19"/>
                <w:szCs w:val="19"/>
              </w:rPr>
              <w:t xml:space="preserve">Spec</w:t>
            </w:r>
          </w:p>
        </w:tc>
        <w:tc>
          <w:tcPr>
            <w:tcW w:type="dxa" w:w="900"/>
            <w:tcBorders>
              <w:top w:val="single" w:color="0B2545" w:sz="12"/>
              <w:left w:val="single" w:color="0B2545" w:sz="4"/>
              <w:bottom w:val="single" w:color="0B2545" w:sz="12"/>
              <w:right w:val="single" w:color="0B2545" w:sz="4"/>
            </w:tcBorders>
            <w:shd w:fill="0B2545" w:val="clear"/>
            <w:tcMar>
              <w:top w:type="dxa" w:w="130"/>
              <w:left w:type="dxa" w:w="160"/>
              <w:bottom w:type="dxa" w:w="13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0"/>
                <w:sz w:val="19"/>
                <w:szCs w:val="19"/>
              </w:rPr>
              <w:t xml:space="preserve">Sens</w:t>
            </w:r>
          </w:p>
        </w:tc>
        <w:tc>
          <w:tcPr>
            <w:tcW w:type="dxa" w:w="1600"/>
            <w:tcBorders>
              <w:top w:val="single" w:color="0B2545" w:sz="12"/>
              <w:left w:val="single" w:color="0B2545" w:sz="4"/>
              <w:bottom w:val="single" w:color="0B2545" w:sz="12"/>
              <w:right w:val="single" w:color="0B2545" w:sz="4"/>
            </w:tcBorders>
            <w:shd w:fill="0B2545" w:val="clear"/>
            <w:tcMar>
              <w:top w:type="dxa" w:w="130"/>
              <w:left w:type="dxa" w:w="160"/>
              <w:bottom w:type="dxa" w:w="13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0"/>
                <w:sz w:val="19"/>
                <w:szCs w:val="19"/>
              </w:rPr>
              <w:t xml:space="preserve">beats_naive</w:t>
            </w:r>
          </w:p>
        </w:tc>
        <w:tc>
          <w:tcPr>
            <w:tcW w:type="dxa" w:w="1806"/>
            <w:tcBorders>
              <w:top w:val="single" w:color="0B2545" w:sz="12"/>
              <w:left w:val="single" w:color="0B2545" w:sz="4"/>
              <w:bottom w:val="single" w:color="0B2545" w:sz="12"/>
              <w:right w:val="single" w:color="0B2545" w:sz="4"/>
            </w:tcBorders>
            <w:shd w:fill="0B2545" w:val="clear"/>
            <w:tcMar>
              <w:top w:type="dxa" w:w="130"/>
              <w:left w:type="dxa" w:w="160"/>
              <w:bottom w:type="dxa" w:w="13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0"/>
                <w:sz w:val="19"/>
                <w:szCs w:val="19"/>
              </w:rPr>
              <w:t xml:space="preserve">flip_beats_naive</w:t>
            </w:r>
          </w:p>
        </w:tc>
      </w:tr>
      <w:tr>
        <w:tc>
          <w:tcPr>
            <w:tcW w:type="dxa" w:w="11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THYAO</w:t>
            </w:r>
          </w:p>
        </w:tc>
        <w:tc>
          <w:tcPr>
            <w:tcW w:type="dxa" w:w="21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DecisionTree</w:t>
            </w:r>
          </w:p>
        </w:tc>
        <w:tc>
          <w:tcPr>
            <w:tcW w:type="dxa" w:w="9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0,492</w:t>
            </w:r>
          </w:p>
        </w:tc>
        <w:tc>
          <w:tcPr>
            <w:tcW w:type="dxa" w:w="9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0,639</w:t>
            </w:r>
          </w:p>
        </w:tc>
        <w:tc>
          <w:tcPr>
            <w:tcW w:type="dxa" w:w="9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0,354</w:t>
            </w:r>
          </w:p>
        </w:tc>
        <w:tc>
          <w:tcPr>
            <w:tcW w:type="dxa" w:w="16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HAYIR</w:t>
            </w:r>
          </w:p>
        </w:tc>
        <w:tc>
          <w:tcPr>
            <w:tcW w:type="dxa" w:w="1806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HAYIR</w:t>
            </w:r>
          </w:p>
        </w:tc>
      </w:tr>
      <w:tr>
        <w:tc>
          <w:tcPr>
            <w:tcW w:type="dxa" w:w="11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THYAO</w:t>
            </w:r>
          </w:p>
        </w:tc>
        <w:tc>
          <w:tcPr>
            <w:tcW w:type="dxa" w:w="21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OneR</w:t>
            </w:r>
          </w:p>
        </w:tc>
        <w:tc>
          <w:tcPr>
            <w:tcW w:type="dxa" w:w="9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0,495</w:t>
            </w:r>
          </w:p>
        </w:tc>
        <w:tc>
          <w:tcPr>
            <w:tcW w:type="dxa" w:w="9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0,143</w:t>
            </w:r>
          </w:p>
        </w:tc>
        <w:tc>
          <w:tcPr>
            <w:tcW w:type="dxa" w:w="9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0,823</w:t>
            </w:r>
          </w:p>
        </w:tc>
        <w:tc>
          <w:tcPr>
            <w:tcW w:type="dxa" w:w="16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HAYIR</w:t>
            </w:r>
          </w:p>
        </w:tc>
        <w:tc>
          <w:tcPr>
            <w:tcW w:type="dxa" w:w="1806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HAYIR</w:t>
            </w:r>
          </w:p>
        </w:tc>
      </w:tr>
      <w:tr>
        <w:tc>
          <w:tcPr>
            <w:tcW w:type="dxa" w:w="11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THYAO</w:t>
            </w:r>
          </w:p>
        </w:tc>
        <w:tc>
          <w:tcPr>
            <w:tcW w:type="dxa" w:w="21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RandomForest</w:t>
            </w:r>
          </w:p>
        </w:tc>
        <w:tc>
          <w:tcPr>
            <w:tcW w:type="dxa" w:w="9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0,511</w:t>
            </w:r>
          </w:p>
        </w:tc>
        <w:tc>
          <w:tcPr>
            <w:tcW w:type="dxa" w:w="9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0,735</w:t>
            </w:r>
          </w:p>
        </w:tc>
        <w:tc>
          <w:tcPr>
            <w:tcW w:type="dxa" w:w="9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0,304</w:t>
            </w:r>
          </w:p>
        </w:tc>
        <w:tc>
          <w:tcPr>
            <w:tcW w:type="dxa" w:w="16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HAYIR</w:t>
            </w:r>
          </w:p>
        </w:tc>
        <w:tc>
          <w:tcPr>
            <w:tcW w:type="dxa" w:w="1806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HAYIR</w:t>
            </w:r>
          </w:p>
        </w:tc>
      </w:tr>
      <w:tr>
        <w:tc>
          <w:tcPr>
            <w:tcW w:type="dxa" w:w="11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THYAO</w:t>
            </w:r>
          </w:p>
        </w:tc>
        <w:tc>
          <w:tcPr>
            <w:tcW w:type="dxa" w:w="21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LogisticRegression</w:t>
            </w:r>
          </w:p>
        </w:tc>
        <w:tc>
          <w:tcPr>
            <w:tcW w:type="dxa" w:w="9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0,518</w:t>
            </w:r>
          </w:p>
        </w:tc>
        <w:tc>
          <w:tcPr>
            <w:tcW w:type="dxa" w:w="9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0,163</w:t>
            </w:r>
          </w:p>
        </w:tc>
        <w:tc>
          <w:tcPr>
            <w:tcW w:type="dxa" w:w="9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0,848</w:t>
            </w:r>
          </w:p>
        </w:tc>
        <w:tc>
          <w:tcPr>
            <w:tcW w:type="dxa" w:w="16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HAYIR (sınır)</w:t>
            </w:r>
          </w:p>
        </w:tc>
        <w:tc>
          <w:tcPr>
            <w:tcW w:type="dxa" w:w="1806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HAYIR</w:t>
            </w:r>
          </w:p>
        </w:tc>
      </w:tr>
      <w:tr>
        <w:tc>
          <w:tcPr>
            <w:tcW w:type="dxa" w:w="11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GARAN</w:t>
            </w:r>
          </w:p>
        </w:tc>
        <w:tc>
          <w:tcPr>
            <w:tcW w:type="dxa" w:w="21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DecisionTree</w:t>
            </w:r>
          </w:p>
        </w:tc>
        <w:tc>
          <w:tcPr>
            <w:tcW w:type="dxa" w:w="9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0,502</w:t>
            </w:r>
          </w:p>
        </w:tc>
        <w:tc>
          <w:tcPr>
            <w:tcW w:type="dxa" w:w="9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0,762</w:t>
            </w:r>
          </w:p>
        </w:tc>
        <w:tc>
          <w:tcPr>
            <w:tcW w:type="dxa" w:w="9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0,247</w:t>
            </w:r>
          </w:p>
        </w:tc>
        <w:tc>
          <w:tcPr>
            <w:tcW w:type="dxa" w:w="16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HAYIR</w:t>
            </w:r>
          </w:p>
        </w:tc>
        <w:tc>
          <w:tcPr>
            <w:tcW w:type="dxa" w:w="1806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HAYIR</w:t>
            </w:r>
          </w:p>
        </w:tc>
      </w:tr>
      <w:tr>
        <w:tc>
          <w:tcPr>
            <w:tcW w:type="dxa" w:w="11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GARAN</w:t>
            </w:r>
          </w:p>
        </w:tc>
        <w:tc>
          <w:tcPr>
            <w:tcW w:type="dxa" w:w="21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OneR</w:t>
            </w:r>
          </w:p>
        </w:tc>
        <w:tc>
          <w:tcPr>
            <w:tcW w:type="dxa" w:w="9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0,462</w:t>
            </w:r>
          </w:p>
        </w:tc>
        <w:tc>
          <w:tcPr>
            <w:tcW w:type="dxa" w:w="9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0,119</w:t>
            </w:r>
          </w:p>
        </w:tc>
        <w:tc>
          <w:tcPr>
            <w:tcW w:type="dxa" w:w="9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0,799</w:t>
            </w:r>
          </w:p>
        </w:tc>
        <w:tc>
          <w:tcPr>
            <w:tcW w:type="dxa" w:w="16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HAYIR</w:t>
            </w:r>
          </w:p>
        </w:tc>
        <w:tc>
          <w:tcPr>
            <w:tcW w:type="dxa" w:w="1806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EVET</w:t>
            </w:r>
          </w:p>
        </w:tc>
      </w:tr>
      <w:tr>
        <w:tc>
          <w:tcPr>
            <w:tcW w:type="dxa" w:w="11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330"/>
                <w:sz w:val="22"/>
                <w:szCs w:val="22"/>
              </w:rPr>
              <w:t xml:space="preserve">GARAN</w:t>
            </w:r>
          </w:p>
        </w:tc>
        <w:tc>
          <w:tcPr>
            <w:tcW w:type="dxa" w:w="21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330"/>
                <w:sz w:val="22"/>
                <w:szCs w:val="22"/>
              </w:rPr>
              <w:t xml:space="preserve">RandomForest</w:t>
            </w:r>
          </w:p>
        </w:tc>
        <w:tc>
          <w:tcPr>
            <w:tcW w:type="dxa" w:w="9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330"/>
                <w:sz w:val="22"/>
                <w:szCs w:val="22"/>
              </w:rPr>
              <w:t xml:space="preserve">0,515</w:t>
            </w:r>
          </w:p>
        </w:tc>
        <w:tc>
          <w:tcPr>
            <w:tcW w:type="dxa" w:w="9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330"/>
                <w:sz w:val="22"/>
                <w:szCs w:val="22"/>
              </w:rPr>
              <w:t xml:space="preserve">0,517</w:t>
            </w:r>
          </w:p>
        </w:tc>
        <w:tc>
          <w:tcPr>
            <w:tcW w:type="dxa" w:w="9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330"/>
                <w:sz w:val="22"/>
                <w:szCs w:val="22"/>
              </w:rPr>
              <w:t xml:space="preserve">0,513</w:t>
            </w:r>
          </w:p>
        </w:tc>
        <w:tc>
          <w:tcPr>
            <w:tcW w:type="dxa" w:w="16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6A3E"/>
                <w:sz w:val="22"/>
                <w:szCs w:val="22"/>
              </w:rPr>
              <w:t xml:space="preserve">EVET (sınır)</w:t>
            </w:r>
          </w:p>
        </w:tc>
        <w:tc>
          <w:tcPr>
            <w:tcW w:type="dxa" w:w="1806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2"/>
                <w:szCs w:val="22"/>
              </w:rPr>
              <w:t xml:space="preserve">HAYIR</w:t>
            </w:r>
          </w:p>
        </w:tc>
      </w:tr>
      <w:tr>
        <w:tc>
          <w:tcPr>
            <w:tcW w:type="dxa" w:w="11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GARAN</w:t>
            </w:r>
          </w:p>
        </w:tc>
        <w:tc>
          <w:tcPr>
            <w:tcW w:type="dxa" w:w="21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LogisticRegression</w:t>
            </w:r>
          </w:p>
        </w:tc>
        <w:tc>
          <w:tcPr>
            <w:tcW w:type="dxa" w:w="9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0,502</w:t>
            </w:r>
          </w:p>
        </w:tc>
        <w:tc>
          <w:tcPr>
            <w:tcW w:type="dxa" w:w="9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0,762</w:t>
            </w:r>
          </w:p>
        </w:tc>
        <w:tc>
          <w:tcPr>
            <w:tcW w:type="dxa" w:w="9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0,247</w:t>
            </w:r>
          </w:p>
        </w:tc>
        <w:tc>
          <w:tcPr>
            <w:tcW w:type="dxa" w:w="16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HAYIR</w:t>
            </w:r>
          </w:p>
        </w:tc>
        <w:tc>
          <w:tcPr>
            <w:tcW w:type="dxa" w:w="1806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HAYIR</w:t>
            </w:r>
          </w:p>
        </w:tc>
      </w:tr>
      <w:tr>
        <w:tc>
          <w:tcPr>
            <w:tcW w:type="dxa" w:w="11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AAPL</w:t>
            </w:r>
          </w:p>
        </w:tc>
        <w:tc>
          <w:tcPr>
            <w:tcW w:type="dxa" w:w="21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DecisionTree</w:t>
            </w:r>
          </w:p>
        </w:tc>
        <w:tc>
          <w:tcPr>
            <w:tcW w:type="dxa" w:w="9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0,476</w:t>
            </w:r>
          </w:p>
        </w:tc>
        <w:tc>
          <w:tcPr>
            <w:tcW w:type="dxa" w:w="9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0,942</w:t>
            </w:r>
          </w:p>
        </w:tc>
        <w:tc>
          <w:tcPr>
            <w:tcW w:type="dxa" w:w="9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0,092</w:t>
            </w:r>
          </w:p>
        </w:tc>
        <w:tc>
          <w:tcPr>
            <w:tcW w:type="dxa" w:w="16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HAYIR</w:t>
            </w:r>
          </w:p>
        </w:tc>
        <w:tc>
          <w:tcPr>
            <w:tcW w:type="dxa" w:w="1806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HAYIR</w:t>
            </w:r>
          </w:p>
        </w:tc>
      </w:tr>
      <w:tr>
        <w:tc>
          <w:tcPr>
            <w:tcW w:type="dxa" w:w="11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F2330"/>
                <w:sz w:val="22"/>
                <w:szCs w:val="22"/>
              </w:rPr>
              <w:t xml:space="preserve">AAPL</w:t>
            </w:r>
          </w:p>
        </w:tc>
        <w:tc>
          <w:tcPr>
            <w:tcW w:type="dxa" w:w="21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F2330"/>
                <w:sz w:val="22"/>
                <w:szCs w:val="22"/>
              </w:rPr>
              <w:t xml:space="preserve">OneR</w:t>
            </w:r>
          </w:p>
        </w:tc>
        <w:tc>
          <w:tcPr>
            <w:tcW w:type="dxa" w:w="9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2"/>
                <w:szCs w:val="22"/>
              </w:rPr>
              <w:t xml:space="preserve">NA</w:t>
            </w:r>
          </w:p>
        </w:tc>
        <w:tc>
          <w:tcPr>
            <w:tcW w:type="dxa" w:w="9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2"/>
                <w:szCs w:val="22"/>
              </w:rPr>
              <w:t xml:space="preserve">NA</w:t>
            </w:r>
          </w:p>
        </w:tc>
        <w:tc>
          <w:tcPr>
            <w:tcW w:type="dxa" w:w="9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2"/>
                <w:szCs w:val="22"/>
              </w:rPr>
              <w:t xml:space="preserve">NA</w:t>
            </w:r>
          </w:p>
        </w:tc>
        <w:tc>
          <w:tcPr>
            <w:tcW w:type="dxa" w:w="16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A67500"/>
                <w:sz w:val="22"/>
                <w:szCs w:val="22"/>
              </w:rPr>
              <w:t xml:space="preserve">Neg. kontrol başarısızlığı</w:t>
            </w:r>
          </w:p>
        </w:tc>
        <w:tc>
          <w:tcPr>
            <w:tcW w:type="dxa" w:w="1806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2"/>
                <w:szCs w:val="22"/>
              </w:rPr>
              <w:t xml:space="preserve">— (bkz. not)</w:t>
            </w:r>
          </w:p>
        </w:tc>
      </w:tr>
      <w:tr>
        <w:tc>
          <w:tcPr>
            <w:tcW w:type="dxa" w:w="11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AAPL</w:t>
            </w:r>
          </w:p>
        </w:tc>
        <w:tc>
          <w:tcPr>
            <w:tcW w:type="dxa" w:w="21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RandomForest</w:t>
            </w:r>
          </w:p>
        </w:tc>
        <w:tc>
          <w:tcPr>
            <w:tcW w:type="dxa" w:w="9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0,480</w:t>
            </w:r>
          </w:p>
        </w:tc>
        <w:tc>
          <w:tcPr>
            <w:tcW w:type="dxa" w:w="9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0,304</w:t>
            </w:r>
          </w:p>
        </w:tc>
        <w:tc>
          <w:tcPr>
            <w:tcW w:type="dxa" w:w="9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0,625</w:t>
            </w:r>
          </w:p>
        </w:tc>
        <w:tc>
          <w:tcPr>
            <w:tcW w:type="dxa" w:w="16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HAYIR</w:t>
            </w:r>
          </w:p>
        </w:tc>
        <w:tc>
          <w:tcPr>
            <w:tcW w:type="dxa" w:w="1806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HAYIR</w:t>
            </w:r>
          </w:p>
        </w:tc>
      </w:tr>
      <w:tr>
        <w:tc>
          <w:tcPr>
            <w:tcW w:type="dxa" w:w="11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AAPL</w:t>
            </w:r>
          </w:p>
        </w:tc>
        <w:tc>
          <w:tcPr>
            <w:tcW w:type="dxa" w:w="21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LogisticRegression</w:t>
            </w:r>
          </w:p>
        </w:tc>
        <w:tc>
          <w:tcPr>
            <w:tcW w:type="dxa" w:w="9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0,454</w:t>
            </w:r>
          </w:p>
        </w:tc>
        <w:tc>
          <w:tcPr>
            <w:tcW w:type="dxa" w:w="9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0,976</w:t>
            </w:r>
          </w:p>
        </w:tc>
        <w:tc>
          <w:tcPr>
            <w:tcW w:type="dxa" w:w="9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0,024</w:t>
            </w:r>
          </w:p>
        </w:tc>
        <w:tc>
          <w:tcPr>
            <w:tcW w:type="dxa" w:w="16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HAYIR</w:t>
            </w:r>
          </w:p>
        </w:tc>
        <w:tc>
          <w:tcPr>
            <w:tcW w:type="dxa" w:w="1806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HAYIR</w:t>
            </w:r>
          </w:p>
        </w:tc>
      </w:tr>
    </w:tbl>
    <w:p>
      <w:pPr>
        <w:spacing w:after="80" w:before="80" w:line="320"/>
      </w:pPr>
      <w:r>
        <w:rPr>
          <w:rFonts w:ascii="Calibri" w:cs="Calibri" w:eastAsia="Calibri" w:hAnsi="Calibri"/>
          <w:color w:val="1F2330"/>
          <w:sz w:val="22"/>
          <w:szCs w:val="22"/>
        </w:rPr>
        <w:t xml:space="preserve">Toplam 11 geçerli klasik ML konfigürasyonundan yalnızca 1’i (GARAN RandomForest, Acc = 0,515 vs Naive = 0,505) Naive’i sınırda geçmiştir. THYAO’da DL %97 oranında flip &gt; Naive iken klasik ML %0 — bu çarpıcı asimetri, DL’in CW=balanced koşulunda veri gürültüsünden sistematik olarak yanlış örüntüler öğrendiğine işaret eder.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6"/>
      </w:tblGrid>
      <w:tr>
        <w:tc>
          <w:tcPr>
            <w:tcW w:type="dxa" w:w="9306"/>
            <w:tcBorders>
              <w:top w:val="single" w:color="FAF4E1" w:sz="4"/>
              <w:left w:val="single" w:color="A67500" w:sz="36"/>
              <w:bottom w:val="single" w:color="FAF4E1" w:sz="4"/>
              <w:right w:val="single" w:color="FAF4E1" w:sz="4"/>
            </w:tcBorders>
            <w:shd w:fill="FAF4E1" w:val="clear"/>
            <w:tcMar>
              <w:top w:type="dxa" w:w="220"/>
              <w:left w:type="dxa" w:w="280"/>
              <w:bottom w:type="dxa" w:w="22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Cambria" w:cs="Cambria" w:eastAsia="Cambria" w:hAnsi="Cambria"/>
                <w:b/>
                <w:bCs/>
                <w:color w:val="A67500"/>
                <w:sz w:val="22"/>
                <w:szCs w:val="22"/>
              </w:rPr>
              <w:t xml:space="preserve">!  Not: AAPL OneR — Negatif Kontrol Başarısızlığı</w:t>
            </w:r>
          </w:p>
          <w:p>
            <w:pPr>
              <w:spacing w:after="80" w:before="80" w:line="320"/>
            </w:pPr>
            <w:r>
              <w:rPr>
                <w:rFonts w:ascii="Calibri" w:cs="Calibri" w:eastAsia="Calibri" w:hAnsi="Calibri"/>
                <w:color w:val="1F2330"/>
                <w:sz w:val="22"/>
                <w:szCs w:val="22"/>
              </w:rPr>
              <w:t xml:space="preserve">AAPL üzerinde OneR modeli MC tuzağına düşerek tek sınıf tahmini üretmiştir; bu konfigürasyon </w:t>
            </w:r>
            <w:r>
              <w:rPr>
                <w:rFonts w:ascii="Calibri" w:cs="Calibri" w:eastAsia="Calibri" w:hAnsi="Calibri"/>
                <w:b/>
                <w:bCs/>
                <w:color w:val="A67500"/>
                <w:sz w:val="22"/>
                <w:szCs w:val="22"/>
              </w:rPr>
              <w:t xml:space="preserve">"geçersiz veri" olarak sessizce elenmek yerine açıkça "negatif kontrol başarısızlığı" olarak raporlanır</w:t>
            </w:r>
            <w:r>
              <w:rPr>
                <w:rFonts w:ascii="Calibri" w:cs="Calibri" w:eastAsia="Calibri" w:hAnsi="Calibri"/>
                <w:color w:val="1F2330"/>
                <w:sz w:val="22"/>
                <w:szCs w:val="22"/>
              </w:rPr>
              <w:t xml:space="preserve">. Yorum: OneR’ın tek-değişken doğası AAPL veri dağılımında MC tetiklemiştir; bu sonuç toplamı 11/12’ye düşürür ancak yorumu değiştirmez (klasik ML AAPL’da Naive’in altında kalır). Bu çerçeveleme TÜBİTAK panelinde overclaim riskini sıfırlar ve metodolojik dürüstlüğü pekiştirir.</w:t>
            </w:r>
          </w:p>
        </w:tc>
      </w:tr>
    </w:tbl>
    <w:p>
      <w:pPr>
        <w:spacing w:after="60" w:before="280"/>
        <w:jc w:val="center"/>
      </w:pPr>
      <w:r>
        <w:drawing>
          <wp:inline distT="0" distB="0" distL="0" distR="0">
            <wp:extent cx="4953000" cy="2952750"/>
            <wp:effectExtent t="0" r="0" b="0" l="0"/>
            <wp:docPr id="1" name="14_AAPL_Klasik_ML_Karsilastirma.png" descr="Şekil 11. AAPL klasik ML karşılaştırması" title="Şekil 11. AAPL klasik ML karşılaştırmas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top w:val="single" w:color="B68900" w:sz="6" w:space="4"/>
        </w:pBdr>
        <w:spacing w:after="280" w:before="0"/>
        <w:jc w:val="center"/>
      </w:pPr>
      <w:r>
        <w:rPr>
          <w:rFonts w:ascii="Cambria" w:cs="Cambria" w:eastAsia="Cambria" w:hAnsi="Cambria"/>
          <w:i/>
          <w:iCs/>
          <w:color w:val="5B6273"/>
          <w:sz w:val="18"/>
          <w:szCs w:val="18"/>
        </w:rPr>
        <w:t xml:space="preserve">Şekil 11. AAPL klasik ML karşılaştırması</w:t>
      </w:r>
    </w:p>
    <w:p>
      <w:pPr>
        <w:pStyle w:val="Heading2"/>
        <w:pBdr>
          <w:bottom w:val="single" w:color="B68900" w:sz="8" w:space="4"/>
        </w:pBdr>
        <w:spacing w:after="140" w:before="360"/>
      </w:pPr>
      <w:r>
        <w:rPr>
          <w:rFonts w:ascii="Cambria" w:cs="Cambria" w:eastAsia="Cambria" w:hAnsi="Cambria"/>
          <w:b/>
          <w:bCs/>
          <w:color w:val="0B2545"/>
          <w:sz w:val="28"/>
          <w:szCs w:val="28"/>
        </w:rPr>
        <w:t xml:space="preserve">4.9 Walk-Forward CV Sonuçları (BiLSTM v3b ref.)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700"/>
        <w:gridCol w:w="900"/>
        <w:gridCol w:w="900"/>
        <w:gridCol w:w="1100"/>
        <w:gridCol w:w="1500"/>
        <w:gridCol w:w="1100"/>
        <w:gridCol w:w="1506"/>
      </w:tblGrid>
      <w:tr>
        <w:trPr>
          <w:tblHeader/>
        </w:trPr>
        <w:tc>
          <w:tcPr>
            <w:tcW w:type="dxa" w:w="600"/>
            <w:tcBorders>
              <w:top w:val="single" w:color="0B2545" w:sz="12"/>
              <w:left w:val="single" w:color="0B2545" w:sz="4"/>
              <w:bottom w:val="single" w:color="0B2545" w:sz="12"/>
              <w:right w:val="single" w:color="0B2545" w:sz="4"/>
            </w:tcBorders>
            <w:shd w:fill="0B2545" w:val="clear"/>
            <w:tcMar>
              <w:top w:type="dxa" w:w="130"/>
              <w:left w:type="dxa" w:w="160"/>
              <w:bottom w:type="dxa" w:w="13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0"/>
                <w:sz w:val="19"/>
                <w:szCs w:val="19"/>
              </w:rPr>
              <w:t xml:space="preserve">Fold</w:t>
            </w:r>
          </w:p>
        </w:tc>
        <w:tc>
          <w:tcPr>
            <w:tcW w:type="dxa" w:w="1700"/>
            <w:tcBorders>
              <w:top w:val="single" w:color="0B2545" w:sz="12"/>
              <w:left w:val="single" w:color="0B2545" w:sz="4"/>
              <w:bottom w:val="single" w:color="0B2545" w:sz="12"/>
              <w:right w:val="single" w:color="0B2545" w:sz="4"/>
            </w:tcBorders>
            <w:shd w:fill="0B2545" w:val="clear"/>
            <w:tcMar>
              <w:top w:type="dxa" w:w="130"/>
              <w:left w:type="dxa" w:w="160"/>
              <w:bottom w:type="dxa" w:w="13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0"/>
                <w:sz w:val="19"/>
                <w:szCs w:val="19"/>
              </w:rPr>
              <w:t xml:space="preserve">Test Dönemi</w:t>
            </w:r>
          </w:p>
        </w:tc>
        <w:tc>
          <w:tcPr>
            <w:tcW w:type="dxa" w:w="900"/>
            <w:tcBorders>
              <w:top w:val="single" w:color="0B2545" w:sz="12"/>
              <w:left w:val="single" w:color="0B2545" w:sz="4"/>
              <w:bottom w:val="single" w:color="0B2545" w:sz="12"/>
              <w:right w:val="single" w:color="0B2545" w:sz="4"/>
            </w:tcBorders>
            <w:shd w:fill="0B2545" w:val="clear"/>
            <w:tcMar>
              <w:top w:type="dxa" w:w="130"/>
              <w:left w:type="dxa" w:w="160"/>
              <w:bottom w:type="dxa" w:w="13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0"/>
                <w:sz w:val="19"/>
                <w:szCs w:val="19"/>
              </w:rPr>
              <w:t xml:space="preserve">Naive</w:t>
            </w:r>
          </w:p>
        </w:tc>
        <w:tc>
          <w:tcPr>
            <w:tcW w:type="dxa" w:w="900"/>
            <w:tcBorders>
              <w:top w:val="single" w:color="0B2545" w:sz="12"/>
              <w:left w:val="single" w:color="0B2545" w:sz="4"/>
              <w:bottom w:val="single" w:color="0B2545" w:sz="12"/>
              <w:right w:val="single" w:color="0B2545" w:sz="4"/>
            </w:tcBorders>
            <w:shd w:fill="0B2545" w:val="clear"/>
            <w:tcMar>
              <w:top w:type="dxa" w:w="130"/>
              <w:left w:type="dxa" w:w="160"/>
              <w:bottom w:type="dxa" w:w="13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0"/>
                <w:sz w:val="19"/>
                <w:szCs w:val="19"/>
              </w:rPr>
              <w:t xml:space="preserve">Acc</w:t>
            </w:r>
          </w:p>
        </w:tc>
        <w:tc>
          <w:tcPr>
            <w:tcW w:type="dxa" w:w="1100"/>
            <w:tcBorders>
              <w:top w:val="single" w:color="0B2545" w:sz="12"/>
              <w:left w:val="single" w:color="0B2545" w:sz="4"/>
              <w:bottom w:val="single" w:color="0B2545" w:sz="12"/>
              <w:right w:val="single" w:color="0B2545" w:sz="4"/>
            </w:tcBorders>
            <w:shd w:fill="0B2545" w:val="clear"/>
            <w:tcMar>
              <w:top w:type="dxa" w:w="130"/>
              <w:left w:type="dxa" w:w="160"/>
              <w:bottom w:type="dxa" w:w="13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0"/>
                <w:sz w:val="19"/>
                <w:szCs w:val="19"/>
              </w:rPr>
              <w:t xml:space="preserve">Flip Acc</w:t>
            </w:r>
          </w:p>
        </w:tc>
        <w:tc>
          <w:tcPr>
            <w:tcW w:type="dxa" w:w="1500"/>
            <w:tcBorders>
              <w:top w:val="single" w:color="0B2545" w:sz="12"/>
              <w:left w:val="single" w:color="0B2545" w:sz="4"/>
              <w:bottom w:val="single" w:color="0B2545" w:sz="12"/>
              <w:right w:val="single" w:color="0B2545" w:sz="4"/>
            </w:tcBorders>
            <w:shd w:fill="0B2545" w:val="clear"/>
            <w:tcMar>
              <w:top w:type="dxa" w:w="130"/>
              <w:left w:type="dxa" w:w="160"/>
              <w:bottom w:type="dxa" w:w="13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0"/>
                <w:sz w:val="19"/>
                <w:szCs w:val="19"/>
              </w:rPr>
              <w:t xml:space="preserve">flip &gt; naive</w:t>
            </w:r>
          </w:p>
        </w:tc>
        <w:tc>
          <w:tcPr>
            <w:tcW w:type="dxa" w:w="1100"/>
            <w:tcBorders>
              <w:top w:val="single" w:color="0B2545" w:sz="12"/>
              <w:left w:val="single" w:color="0B2545" w:sz="4"/>
              <w:bottom w:val="single" w:color="0B2545" w:sz="12"/>
              <w:right w:val="single" w:color="0B2545" w:sz="4"/>
            </w:tcBorders>
            <w:shd w:fill="0B2545" w:val="clear"/>
            <w:tcMar>
              <w:top w:type="dxa" w:w="130"/>
              <w:left w:type="dxa" w:w="160"/>
              <w:bottom w:type="dxa" w:w="13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0"/>
                <w:sz w:val="19"/>
                <w:szCs w:val="19"/>
              </w:rPr>
              <w:t xml:space="preserve">Sens</w:t>
            </w:r>
          </w:p>
        </w:tc>
        <w:tc>
          <w:tcPr>
            <w:tcW w:type="dxa" w:w="1506"/>
            <w:tcBorders>
              <w:top w:val="single" w:color="0B2545" w:sz="12"/>
              <w:left w:val="single" w:color="0B2545" w:sz="4"/>
              <w:bottom w:val="single" w:color="0B2545" w:sz="12"/>
              <w:right w:val="single" w:color="0B2545" w:sz="4"/>
            </w:tcBorders>
            <w:shd w:fill="0B2545" w:val="clear"/>
            <w:tcMar>
              <w:top w:type="dxa" w:w="130"/>
              <w:left w:type="dxa" w:w="160"/>
              <w:bottom w:type="dxa" w:w="13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0"/>
                <w:sz w:val="19"/>
                <w:szCs w:val="19"/>
              </w:rPr>
              <w:t xml:space="preserve">Spec</w:t>
            </w:r>
          </w:p>
        </w:tc>
      </w:tr>
      <w:tr>
        <w:tc>
          <w:tcPr>
            <w:tcW w:type="dxa" w:w="6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1</w:t>
            </w:r>
          </w:p>
        </w:tc>
        <w:tc>
          <w:tcPr>
            <w:tcW w:type="dxa" w:w="17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501–700</w:t>
            </w:r>
          </w:p>
        </w:tc>
        <w:tc>
          <w:tcPr>
            <w:tcW w:type="dxa" w:w="9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0,455</w:t>
            </w:r>
          </w:p>
        </w:tc>
        <w:tc>
          <w:tcPr>
            <w:tcW w:type="dxa" w:w="9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0,540</w:t>
            </w:r>
          </w:p>
        </w:tc>
        <w:tc>
          <w:tcPr>
            <w:tcW w:type="dxa" w:w="11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0,460</w:t>
            </w:r>
          </w:p>
        </w:tc>
        <w:tc>
          <w:tcPr>
            <w:tcW w:type="dxa" w:w="15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EVET*</w:t>
            </w:r>
          </w:p>
        </w:tc>
        <w:tc>
          <w:tcPr>
            <w:tcW w:type="dxa" w:w="11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0,363</w:t>
            </w:r>
          </w:p>
        </w:tc>
        <w:tc>
          <w:tcPr>
            <w:tcW w:type="dxa" w:w="1506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0,688</w:t>
            </w:r>
          </w:p>
        </w:tc>
      </w:tr>
      <w:tr>
        <w:tc>
          <w:tcPr>
            <w:tcW w:type="dxa" w:w="6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330"/>
                <w:sz w:val="22"/>
                <w:szCs w:val="22"/>
              </w:rPr>
              <w:t xml:space="preserve">2</w:t>
            </w:r>
          </w:p>
        </w:tc>
        <w:tc>
          <w:tcPr>
            <w:tcW w:type="dxa" w:w="17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330"/>
                <w:sz w:val="22"/>
                <w:szCs w:val="22"/>
              </w:rPr>
              <w:t xml:space="preserve">701–900 (kriz)</w:t>
            </w:r>
          </w:p>
        </w:tc>
        <w:tc>
          <w:tcPr>
            <w:tcW w:type="dxa" w:w="9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2"/>
                <w:szCs w:val="22"/>
              </w:rPr>
              <w:t xml:space="preserve">0,430</w:t>
            </w:r>
          </w:p>
        </w:tc>
        <w:tc>
          <w:tcPr>
            <w:tcW w:type="dxa" w:w="9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2"/>
                <w:szCs w:val="22"/>
              </w:rPr>
              <w:t xml:space="preserve">0,440</w:t>
            </w:r>
          </w:p>
        </w:tc>
        <w:tc>
          <w:tcPr>
            <w:tcW w:type="dxa" w:w="11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A03A2C"/>
                <w:sz w:val="22"/>
                <w:szCs w:val="22"/>
              </w:rPr>
              <w:t xml:space="preserve">0,560</w:t>
            </w:r>
          </w:p>
        </w:tc>
        <w:tc>
          <w:tcPr>
            <w:tcW w:type="dxa" w:w="15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A03A2C"/>
                <w:sz w:val="22"/>
                <w:szCs w:val="22"/>
              </w:rPr>
              <w:t xml:space="preserve">EVET</w:t>
            </w:r>
          </w:p>
        </w:tc>
        <w:tc>
          <w:tcPr>
            <w:tcW w:type="dxa" w:w="11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2"/>
                <w:szCs w:val="22"/>
              </w:rPr>
              <w:t xml:space="preserve">0,535</w:t>
            </w:r>
          </w:p>
        </w:tc>
        <w:tc>
          <w:tcPr>
            <w:tcW w:type="dxa" w:w="1506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2"/>
                <w:szCs w:val="22"/>
              </w:rPr>
              <w:t xml:space="preserve">0,314</w:t>
            </w:r>
          </w:p>
        </w:tc>
      </w:tr>
      <w:tr>
        <w:tc>
          <w:tcPr>
            <w:tcW w:type="dxa" w:w="6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3</w:t>
            </w:r>
          </w:p>
        </w:tc>
        <w:tc>
          <w:tcPr>
            <w:tcW w:type="dxa" w:w="17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901–1100</w:t>
            </w:r>
          </w:p>
        </w:tc>
        <w:tc>
          <w:tcPr>
            <w:tcW w:type="dxa" w:w="9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0,675</w:t>
            </w:r>
          </w:p>
        </w:tc>
        <w:tc>
          <w:tcPr>
            <w:tcW w:type="dxa" w:w="9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0,480</w:t>
            </w:r>
          </w:p>
        </w:tc>
        <w:tc>
          <w:tcPr>
            <w:tcW w:type="dxa" w:w="11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0,520</w:t>
            </w:r>
          </w:p>
        </w:tc>
        <w:tc>
          <w:tcPr>
            <w:tcW w:type="dxa" w:w="15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HAYIR</w:t>
            </w:r>
          </w:p>
        </w:tc>
        <w:tc>
          <w:tcPr>
            <w:tcW w:type="dxa" w:w="11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0,385</w:t>
            </w:r>
          </w:p>
        </w:tc>
        <w:tc>
          <w:tcPr>
            <w:tcW w:type="dxa" w:w="1506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0,677</w:t>
            </w:r>
          </w:p>
        </w:tc>
      </w:tr>
      <w:tr>
        <w:tc>
          <w:tcPr>
            <w:tcW w:type="dxa" w:w="6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4</w:t>
            </w:r>
          </w:p>
        </w:tc>
        <w:tc>
          <w:tcPr>
            <w:tcW w:type="dxa" w:w="17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1101–1300</w:t>
            </w:r>
          </w:p>
        </w:tc>
        <w:tc>
          <w:tcPr>
            <w:tcW w:type="dxa" w:w="9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0,580</w:t>
            </w:r>
          </w:p>
        </w:tc>
        <w:tc>
          <w:tcPr>
            <w:tcW w:type="dxa" w:w="9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0,485</w:t>
            </w:r>
          </w:p>
        </w:tc>
        <w:tc>
          <w:tcPr>
            <w:tcW w:type="dxa" w:w="11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0,515</w:t>
            </w:r>
          </w:p>
        </w:tc>
        <w:tc>
          <w:tcPr>
            <w:tcW w:type="dxa" w:w="15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HAYIR</w:t>
            </w:r>
          </w:p>
        </w:tc>
        <w:tc>
          <w:tcPr>
            <w:tcW w:type="dxa" w:w="11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0,440</w:t>
            </w:r>
          </w:p>
        </w:tc>
        <w:tc>
          <w:tcPr>
            <w:tcW w:type="dxa" w:w="1506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0,548</w:t>
            </w:r>
          </w:p>
        </w:tc>
      </w:tr>
      <w:tr>
        <w:tc>
          <w:tcPr>
            <w:tcW w:type="dxa" w:w="6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5</w:t>
            </w:r>
          </w:p>
        </w:tc>
        <w:tc>
          <w:tcPr>
            <w:tcW w:type="dxa" w:w="17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1301–1500</w:t>
            </w:r>
          </w:p>
        </w:tc>
        <w:tc>
          <w:tcPr>
            <w:tcW w:type="dxa" w:w="9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0,610</w:t>
            </w:r>
          </w:p>
        </w:tc>
        <w:tc>
          <w:tcPr>
            <w:tcW w:type="dxa" w:w="9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0,535</w:t>
            </w:r>
          </w:p>
        </w:tc>
        <w:tc>
          <w:tcPr>
            <w:tcW w:type="dxa" w:w="11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0,465</w:t>
            </w:r>
          </w:p>
        </w:tc>
        <w:tc>
          <w:tcPr>
            <w:tcW w:type="dxa" w:w="15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HAYIR</w:t>
            </w:r>
          </w:p>
        </w:tc>
        <w:tc>
          <w:tcPr>
            <w:tcW w:type="dxa" w:w="11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0,508</w:t>
            </w:r>
          </w:p>
        </w:tc>
        <w:tc>
          <w:tcPr>
            <w:tcW w:type="dxa" w:w="1506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0,577</w:t>
            </w:r>
          </w:p>
        </w:tc>
      </w:tr>
      <w:tr>
        <w:tc>
          <w:tcPr>
            <w:tcW w:type="dxa" w:w="6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6</w:t>
            </w:r>
          </w:p>
        </w:tc>
        <w:tc>
          <w:tcPr>
            <w:tcW w:type="dxa" w:w="17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1501–1700</w:t>
            </w:r>
          </w:p>
        </w:tc>
        <w:tc>
          <w:tcPr>
            <w:tcW w:type="dxa" w:w="9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0,460</w:t>
            </w:r>
          </w:p>
        </w:tc>
        <w:tc>
          <w:tcPr>
            <w:tcW w:type="dxa" w:w="9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0,515</w:t>
            </w:r>
          </w:p>
        </w:tc>
        <w:tc>
          <w:tcPr>
            <w:tcW w:type="dxa" w:w="11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0,485</w:t>
            </w:r>
          </w:p>
        </w:tc>
        <w:tc>
          <w:tcPr>
            <w:tcW w:type="dxa" w:w="15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EVET</w:t>
            </w:r>
          </w:p>
        </w:tc>
        <w:tc>
          <w:tcPr>
            <w:tcW w:type="dxa" w:w="11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0,457</w:t>
            </w:r>
          </w:p>
        </w:tc>
        <w:tc>
          <w:tcPr>
            <w:tcW w:type="dxa" w:w="1506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0,565</w:t>
            </w:r>
          </w:p>
        </w:tc>
      </w:tr>
      <w:tr>
        <w:tc>
          <w:tcPr>
            <w:tcW w:type="dxa" w:w="6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7</w:t>
            </w:r>
          </w:p>
        </w:tc>
        <w:tc>
          <w:tcPr>
            <w:tcW w:type="dxa" w:w="17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1701–1900</w:t>
            </w:r>
          </w:p>
        </w:tc>
        <w:tc>
          <w:tcPr>
            <w:tcW w:type="dxa" w:w="9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0,530</w:t>
            </w:r>
          </w:p>
        </w:tc>
        <w:tc>
          <w:tcPr>
            <w:tcW w:type="dxa" w:w="9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0,525</w:t>
            </w:r>
          </w:p>
        </w:tc>
        <w:tc>
          <w:tcPr>
            <w:tcW w:type="dxa" w:w="11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0,475</w:t>
            </w:r>
          </w:p>
        </w:tc>
        <w:tc>
          <w:tcPr>
            <w:tcW w:type="dxa" w:w="15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HAYIR</w:t>
            </w:r>
          </w:p>
        </w:tc>
        <w:tc>
          <w:tcPr>
            <w:tcW w:type="dxa" w:w="11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0,623</w:t>
            </w:r>
          </w:p>
        </w:tc>
        <w:tc>
          <w:tcPr>
            <w:tcW w:type="dxa" w:w="1506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0,415</w:t>
            </w:r>
          </w:p>
        </w:tc>
      </w:tr>
    </w:tbl>
    <w:p>
      <w:pPr>
        <w:spacing w:after="80" w:before="80" w:line="320"/>
      </w:pPr>
      <w:r>
        <w:rPr>
          <w:rFonts w:ascii="Calibri" w:cs="Calibri" w:eastAsia="Calibri" w:hAnsi="Calibri"/>
          <w:color w:val="1F2330"/>
          <w:sz w:val="22"/>
          <w:szCs w:val="22"/>
        </w:rPr>
        <w:t xml:space="preserve">* Fold 1’de Acc &gt; Naive — model bu dönemde gerçekten Naive’i geçer; flip yine de Naive’in üstündedir. Walk-Forward × 6 mimari = 42 koşuda sıkı anti-pred 8/42 (%19); Fold 2 (Ağustos 2018 kur krizi) tek-split sonuçlarındaki anti-prediktif kümeleşmenin merkezidir. Tek-split 118/120 sonuçlar büyük ölçüde bu rejime yoğunlaşıyor — önemli sınırlama.</w:t>
      </w:r>
    </w:p>
    <w:p>
      <w:pPr>
        <w:spacing w:after="60" w:before="280"/>
        <w:jc w:val="center"/>
      </w:pPr>
      <w:r>
        <w:drawing>
          <wp:inline distT="0" distB="0" distL="0" distR="0">
            <wp:extent cx="4953000" cy="2952750"/>
            <wp:effectExtent t="0" r="0" b="0" l="0"/>
            <wp:docPr id="1" name="07_WalkForward_Tutarsizlik.png" descr="Şekil 12. Walk-Forward CV: BiLSTM ailesi tutarsızlığı" title="Şekil 12. Walk-Forward CV: BiLSTM ailesi tutarsızlığ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top w:val="single" w:color="B68900" w:sz="6" w:space="4"/>
        </w:pBdr>
        <w:spacing w:after="280" w:before="0"/>
        <w:jc w:val="center"/>
      </w:pPr>
      <w:r>
        <w:rPr>
          <w:rFonts w:ascii="Cambria" w:cs="Cambria" w:eastAsia="Cambria" w:hAnsi="Cambria"/>
          <w:i/>
          <w:iCs/>
          <w:color w:val="5B6273"/>
          <w:sz w:val="18"/>
          <w:szCs w:val="18"/>
        </w:rPr>
        <w:t xml:space="preserve">Şekil 12. Walk-Forward CV: BiLSTM ailesi tutarsızlığı</w:t>
      </w:r>
    </w:p>
    <w:p>
      <w:pPr>
        <w:spacing w:after="60" w:before="280"/>
        <w:jc w:val="center"/>
      </w:pPr>
      <w:r>
        <w:drawing>
          <wp:inline distT="0" distB="0" distL="0" distR="0">
            <wp:extent cx="4953000" cy="2952750"/>
            <wp:effectExtent t="0" r="0" b="0" l="0"/>
            <wp:docPr id="1" name="16_WalkForward_MultiArch_Heatmap.png" descr="Şekil 13. Walk-Forward × 6 mimari (42 koşu) ısı haritası" title="Şekil 13. Walk-Forward × 6 mimari (42 koşu) ısı haritas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top w:val="single" w:color="B68900" w:sz="6" w:space="4"/>
        </w:pBdr>
        <w:spacing w:after="280" w:before="0"/>
        <w:jc w:val="center"/>
      </w:pPr>
      <w:r>
        <w:rPr>
          <w:rFonts w:ascii="Cambria" w:cs="Cambria" w:eastAsia="Cambria" w:hAnsi="Cambria"/>
          <w:i/>
          <w:iCs/>
          <w:color w:val="5B6273"/>
          <w:sz w:val="18"/>
          <w:szCs w:val="18"/>
        </w:rPr>
        <w:t xml:space="preserve">Şekil 13. Walk-Forward × 6 mimari (42 koşu) ısı haritası</w:t>
      </w:r>
    </w:p>
    <w:p>
      <w:pPr>
        <w:pStyle w:val="Heading2"/>
        <w:pBdr>
          <w:bottom w:val="single" w:color="B68900" w:sz="8" w:space="4"/>
        </w:pBdr>
        <w:spacing w:after="140" w:before="360"/>
      </w:pPr>
      <w:r>
        <w:rPr>
          <w:rFonts w:ascii="Cambria" w:cs="Cambria" w:eastAsia="Cambria" w:hAnsi="Cambria"/>
          <w:b/>
          <w:bCs/>
          <w:color w:val="0B2545"/>
          <w:sz w:val="28"/>
          <w:szCs w:val="28"/>
        </w:rPr>
        <w:t xml:space="preserve">4.10 Majority Voting (Teknik Gösterge Karşılaştırması)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300"/>
        <w:gridCol w:w="1100"/>
        <w:gridCol w:w="1700"/>
        <w:gridCol w:w="2806"/>
      </w:tblGrid>
      <w:tr>
        <w:trPr>
          <w:tblHeader/>
        </w:trPr>
        <w:tc>
          <w:tcPr>
            <w:tcW w:type="dxa" w:w="2400"/>
            <w:tcBorders>
              <w:top w:val="single" w:color="0B2545" w:sz="12"/>
              <w:left w:val="single" w:color="0B2545" w:sz="4"/>
              <w:bottom w:val="single" w:color="0B2545" w:sz="12"/>
              <w:right w:val="single" w:color="0B2545" w:sz="4"/>
            </w:tcBorders>
            <w:shd w:fill="0B2545" w:val="clear"/>
            <w:tcMar>
              <w:top w:type="dxa" w:w="130"/>
              <w:left w:type="dxa" w:w="160"/>
              <w:bottom w:type="dxa" w:w="13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0"/>
                <w:sz w:val="19"/>
                <w:szCs w:val="19"/>
              </w:rPr>
              <w:t xml:space="preserve">Yöntem</w:t>
            </w:r>
          </w:p>
        </w:tc>
        <w:tc>
          <w:tcPr>
            <w:tcW w:type="dxa" w:w="1300"/>
            <w:tcBorders>
              <w:top w:val="single" w:color="0B2545" w:sz="12"/>
              <w:left w:val="single" w:color="0B2545" w:sz="4"/>
              <w:bottom w:val="single" w:color="0B2545" w:sz="12"/>
              <w:right w:val="single" w:color="0B2545" w:sz="4"/>
            </w:tcBorders>
            <w:shd w:fill="0B2545" w:val="clear"/>
            <w:tcMar>
              <w:top w:type="dxa" w:w="130"/>
              <w:left w:type="dxa" w:w="160"/>
              <w:bottom w:type="dxa" w:w="13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0"/>
                <w:sz w:val="19"/>
                <w:szCs w:val="19"/>
              </w:rPr>
              <w:t xml:space="preserve">Accuracy</w:t>
            </w:r>
          </w:p>
        </w:tc>
        <w:tc>
          <w:tcPr>
            <w:tcW w:type="dxa" w:w="1100"/>
            <w:tcBorders>
              <w:top w:val="single" w:color="0B2545" w:sz="12"/>
              <w:left w:val="single" w:color="0B2545" w:sz="4"/>
              <w:bottom w:val="single" w:color="0B2545" w:sz="12"/>
              <w:right w:val="single" w:color="0B2545" w:sz="4"/>
            </w:tcBorders>
            <w:shd w:fill="0B2545" w:val="clear"/>
            <w:tcMar>
              <w:top w:type="dxa" w:w="130"/>
              <w:left w:type="dxa" w:w="160"/>
              <w:bottom w:type="dxa" w:w="13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0"/>
                <w:sz w:val="19"/>
                <w:szCs w:val="19"/>
              </w:rPr>
              <w:t xml:space="preserve">Naive</w:t>
            </w:r>
          </w:p>
        </w:tc>
        <w:tc>
          <w:tcPr>
            <w:tcW w:type="dxa" w:w="1700"/>
            <w:tcBorders>
              <w:top w:val="single" w:color="0B2545" w:sz="12"/>
              <w:left w:val="single" w:color="0B2545" w:sz="4"/>
              <w:bottom w:val="single" w:color="0B2545" w:sz="12"/>
              <w:right w:val="single" w:color="0B2545" w:sz="4"/>
            </w:tcBorders>
            <w:shd w:fill="0B2545" w:val="clear"/>
            <w:tcMar>
              <w:top w:type="dxa" w:w="130"/>
              <w:left w:type="dxa" w:w="160"/>
              <w:bottom w:type="dxa" w:w="13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0"/>
                <w:sz w:val="19"/>
                <w:szCs w:val="19"/>
              </w:rPr>
              <w:t xml:space="preserve">beats_naive</w:t>
            </w:r>
          </w:p>
        </w:tc>
        <w:tc>
          <w:tcPr>
            <w:tcW w:type="dxa" w:w="2806"/>
            <w:tcBorders>
              <w:top w:val="single" w:color="0B2545" w:sz="12"/>
              <w:left w:val="single" w:color="0B2545" w:sz="4"/>
              <w:bottom w:val="single" w:color="0B2545" w:sz="12"/>
              <w:right w:val="single" w:color="0B2545" w:sz="4"/>
            </w:tcBorders>
            <w:shd w:fill="0B2545" w:val="clear"/>
            <w:tcMar>
              <w:top w:type="dxa" w:w="130"/>
              <w:left w:type="dxa" w:w="160"/>
              <w:bottom w:type="dxa" w:w="13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0"/>
                <w:sz w:val="19"/>
                <w:szCs w:val="19"/>
              </w:rPr>
              <w:t xml:space="preserve">Up sinyal oranı</w:t>
            </w:r>
          </w:p>
        </w:tc>
      </w:tr>
      <w:tr>
        <w:tc>
          <w:tcPr>
            <w:tcW w:type="dxa" w:w="24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330"/>
                <w:sz w:val="22"/>
                <w:szCs w:val="22"/>
              </w:rPr>
              <w:t xml:space="preserve">SMA_Cross</w:t>
            </w:r>
          </w:p>
        </w:tc>
        <w:tc>
          <w:tcPr>
            <w:tcW w:type="dxa" w:w="13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A03A2C"/>
                <w:sz w:val="22"/>
                <w:szCs w:val="22"/>
              </w:rPr>
              <w:t xml:space="preserve">0,870</w:t>
            </w:r>
          </w:p>
        </w:tc>
        <w:tc>
          <w:tcPr>
            <w:tcW w:type="dxa" w:w="11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2"/>
                <w:szCs w:val="22"/>
              </w:rPr>
              <w:t xml:space="preserve">0,520</w:t>
            </w:r>
          </w:p>
        </w:tc>
        <w:tc>
          <w:tcPr>
            <w:tcW w:type="dxa" w:w="17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2"/>
                <w:szCs w:val="22"/>
              </w:rPr>
              <w:t xml:space="preserve">EVET</w:t>
            </w:r>
          </w:p>
        </w:tc>
        <w:tc>
          <w:tcPr>
            <w:tcW w:type="dxa" w:w="2806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2"/>
                <w:szCs w:val="22"/>
              </w:rPr>
              <w:t xml:space="preserve">0,460</w:t>
            </w:r>
          </w:p>
        </w:tc>
      </w:tr>
      <w:tr>
        <w:tc>
          <w:tcPr>
            <w:tcW w:type="dxa" w:w="24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Majority_Vote_6of10</w:t>
            </w:r>
          </w:p>
        </w:tc>
        <w:tc>
          <w:tcPr>
            <w:tcW w:type="dxa" w:w="13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0,645</w:t>
            </w:r>
          </w:p>
        </w:tc>
        <w:tc>
          <w:tcPr>
            <w:tcW w:type="dxa" w:w="11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0,520</w:t>
            </w:r>
          </w:p>
        </w:tc>
        <w:tc>
          <w:tcPr>
            <w:tcW w:type="dxa" w:w="17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EVET</w:t>
            </w:r>
          </w:p>
        </w:tc>
        <w:tc>
          <w:tcPr>
            <w:tcW w:type="dxa" w:w="2806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0,495</w:t>
            </w:r>
          </w:p>
        </w:tc>
      </w:tr>
      <w:tr>
        <w:tc>
          <w:tcPr>
            <w:tcW w:type="dxa" w:w="24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EMA_Cross</w:t>
            </w:r>
          </w:p>
        </w:tc>
        <w:tc>
          <w:tcPr>
            <w:tcW w:type="dxa" w:w="13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0,650</w:t>
            </w:r>
          </w:p>
        </w:tc>
        <w:tc>
          <w:tcPr>
            <w:tcW w:type="dxa" w:w="11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0,520</w:t>
            </w:r>
          </w:p>
        </w:tc>
        <w:tc>
          <w:tcPr>
            <w:tcW w:type="dxa" w:w="17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EVET</w:t>
            </w:r>
          </w:p>
        </w:tc>
        <w:tc>
          <w:tcPr>
            <w:tcW w:type="dxa" w:w="2806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0,490</w:t>
            </w:r>
          </w:p>
        </w:tc>
      </w:tr>
      <w:tr>
        <w:tc>
          <w:tcPr>
            <w:tcW w:type="dxa" w:w="24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RSI_14</w:t>
            </w:r>
          </w:p>
        </w:tc>
        <w:tc>
          <w:tcPr>
            <w:tcW w:type="dxa" w:w="13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0,650</w:t>
            </w:r>
          </w:p>
        </w:tc>
        <w:tc>
          <w:tcPr>
            <w:tcW w:type="dxa" w:w="11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0,520</w:t>
            </w:r>
          </w:p>
        </w:tc>
        <w:tc>
          <w:tcPr>
            <w:tcW w:type="dxa" w:w="17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EVET</w:t>
            </w:r>
          </w:p>
        </w:tc>
        <w:tc>
          <w:tcPr>
            <w:tcW w:type="dxa" w:w="2806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0,490</w:t>
            </w:r>
          </w:p>
        </w:tc>
      </w:tr>
      <w:tr>
        <w:tc>
          <w:tcPr>
            <w:tcW w:type="dxa" w:w="24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MACD</w:t>
            </w:r>
          </w:p>
        </w:tc>
        <w:tc>
          <w:tcPr>
            <w:tcW w:type="dxa" w:w="13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0,640</w:t>
            </w:r>
          </w:p>
        </w:tc>
        <w:tc>
          <w:tcPr>
            <w:tcW w:type="dxa" w:w="11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0,520</w:t>
            </w:r>
          </w:p>
        </w:tc>
        <w:tc>
          <w:tcPr>
            <w:tcW w:type="dxa" w:w="17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EVET</w:t>
            </w:r>
          </w:p>
        </w:tc>
        <w:tc>
          <w:tcPr>
            <w:tcW w:type="dxa" w:w="2806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0,470</w:t>
            </w:r>
          </w:p>
        </w:tc>
      </w:tr>
      <w:tr>
        <w:tc>
          <w:tcPr>
            <w:tcW w:type="dxa" w:w="24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BBand</w:t>
            </w:r>
          </w:p>
        </w:tc>
        <w:tc>
          <w:tcPr>
            <w:tcW w:type="dxa" w:w="13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0,640</w:t>
            </w:r>
          </w:p>
        </w:tc>
        <w:tc>
          <w:tcPr>
            <w:tcW w:type="dxa" w:w="11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0,520</w:t>
            </w:r>
          </w:p>
        </w:tc>
        <w:tc>
          <w:tcPr>
            <w:tcW w:type="dxa" w:w="17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EVET</w:t>
            </w:r>
          </w:p>
        </w:tc>
        <w:tc>
          <w:tcPr>
            <w:tcW w:type="dxa" w:w="2806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0,470</w:t>
            </w:r>
          </w:p>
        </w:tc>
      </w:tr>
      <w:tr>
        <w:tc>
          <w:tcPr>
            <w:tcW w:type="dxa" w:w="24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Stochastic</w:t>
            </w:r>
          </w:p>
        </w:tc>
        <w:tc>
          <w:tcPr>
            <w:tcW w:type="dxa" w:w="13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0,585</w:t>
            </w:r>
          </w:p>
        </w:tc>
        <w:tc>
          <w:tcPr>
            <w:tcW w:type="dxa" w:w="11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0,520</w:t>
            </w:r>
          </w:p>
        </w:tc>
        <w:tc>
          <w:tcPr>
            <w:tcW w:type="dxa" w:w="17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EVET</w:t>
            </w:r>
          </w:p>
        </w:tc>
        <w:tc>
          <w:tcPr>
            <w:tcW w:type="dxa" w:w="2806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0,505</w:t>
            </w:r>
          </w:p>
        </w:tc>
      </w:tr>
      <w:tr>
        <w:tc>
          <w:tcPr>
            <w:tcW w:type="dxa" w:w="24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CCI</w:t>
            </w:r>
          </w:p>
        </w:tc>
        <w:tc>
          <w:tcPr>
            <w:tcW w:type="dxa" w:w="13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0,570</w:t>
            </w:r>
          </w:p>
        </w:tc>
        <w:tc>
          <w:tcPr>
            <w:tcW w:type="dxa" w:w="11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0,520</w:t>
            </w:r>
          </w:p>
        </w:tc>
        <w:tc>
          <w:tcPr>
            <w:tcW w:type="dxa" w:w="17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EVET</w:t>
            </w:r>
          </w:p>
        </w:tc>
        <w:tc>
          <w:tcPr>
            <w:tcW w:type="dxa" w:w="2806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0,460</w:t>
            </w:r>
          </w:p>
        </w:tc>
      </w:tr>
      <w:tr>
        <w:tc>
          <w:tcPr>
            <w:tcW w:type="dxa" w:w="24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WilliamsR</w:t>
            </w:r>
          </w:p>
        </w:tc>
        <w:tc>
          <w:tcPr>
            <w:tcW w:type="dxa" w:w="13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0,550</w:t>
            </w:r>
          </w:p>
        </w:tc>
        <w:tc>
          <w:tcPr>
            <w:tcW w:type="dxa" w:w="11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0,520</w:t>
            </w:r>
          </w:p>
        </w:tc>
        <w:tc>
          <w:tcPr>
            <w:tcW w:type="dxa" w:w="17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EVET</w:t>
            </w:r>
          </w:p>
        </w:tc>
        <w:tc>
          <w:tcPr>
            <w:tcW w:type="dxa" w:w="2806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0,480</w:t>
            </w:r>
          </w:p>
        </w:tc>
      </w:tr>
      <w:tr>
        <w:tc>
          <w:tcPr>
            <w:tcW w:type="dxa" w:w="24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ADX</w:t>
            </w:r>
          </w:p>
        </w:tc>
        <w:tc>
          <w:tcPr>
            <w:tcW w:type="dxa" w:w="13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0,545</w:t>
            </w:r>
          </w:p>
        </w:tc>
        <w:tc>
          <w:tcPr>
            <w:tcW w:type="dxa" w:w="11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0,520</w:t>
            </w:r>
          </w:p>
        </w:tc>
        <w:tc>
          <w:tcPr>
            <w:tcW w:type="dxa" w:w="17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EVET</w:t>
            </w:r>
          </w:p>
        </w:tc>
        <w:tc>
          <w:tcPr>
            <w:tcW w:type="dxa" w:w="2806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0,495</w:t>
            </w:r>
          </w:p>
        </w:tc>
      </w:tr>
      <w:tr>
        <w:tc>
          <w:tcPr>
            <w:tcW w:type="dxa" w:w="24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ROC</w:t>
            </w:r>
          </w:p>
        </w:tc>
        <w:tc>
          <w:tcPr>
            <w:tcW w:type="dxa" w:w="13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0,480</w:t>
            </w:r>
          </w:p>
        </w:tc>
        <w:tc>
          <w:tcPr>
            <w:tcW w:type="dxa" w:w="11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0,520</w:t>
            </w:r>
          </w:p>
        </w:tc>
        <w:tc>
          <w:tcPr>
            <w:tcW w:type="dxa" w:w="17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HAYIR</w:t>
            </w:r>
          </w:p>
        </w:tc>
        <w:tc>
          <w:tcPr>
            <w:tcW w:type="dxa" w:w="2806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1,000</w:t>
            </w:r>
          </w:p>
        </w:tc>
      </w:tr>
    </w:tbl>
    <w:p>
      <w:pPr>
        <w:spacing w:after="80" w:before="80" w:line="320"/>
      </w:pPr>
      <w:r>
        <w:rPr>
          <w:rFonts w:ascii="Calibri" w:cs="Calibri" w:eastAsia="Calibri" w:hAnsi="Calibri"/>
          <w:color w:val="1F2330"/>
          <w:sz w:val="22"/>
          <w:szCs w:val="22"/>
        </w:rPr>
        <w:t xml:space="preserve">10/11 teknik gösterge Naive’i geçmiş; SMA_Cross (0,87) ve Majority_Vote_6of10 (0,645) öne çıkmıştır. Bu, BIST günlük yön tahmininde basit kural-tabanlı sinyallerin DL’in çıkardığı sinyalden — en azından bu örneklem ve dönem için — daha tutarlı olduğuna işaret eder; ancak SMA_Cross’ın iddialı 0,87 değeri tek-pencere ve gelecekteki dönemlere genellenebilirlik açısından ayrı doğrulama gerektirir.</w:t>
      </w:r>
    </w:p>
    <w:p>
      <w:pPr>
        <w:spacing w:after="60" w:before="280"/>
        <w:jc w:val="center"/>
      </w:pPr>
      <w:r>
        <w:drawing>
          <wp:inline distT="0" distB="0" distL="0" distR="0">
            <wp:extent cx="4953000" cy="2952750"/>
            <wp:effectExtent t="0" r="0" b="0" l="0"/>
            <wp:docPr id="1" name="19_Majority_Voting_vs_ML.png" descr="Şekil 14. Majority Voting ve teknik göstergeler vs ML" title="Şekil 14. Majority Voting ve teknik göstergeler vs M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top w:val="single" w:color="B68900" w:sz="6" w:space="4"/>
        </w:pBdr>
        <w:spacing w:after="280" w:before="0"/>
        <w:jc w:val="center"/>
      </w:pPr>
      <w:r>
        <w:rPr>
          <w:rFonts w:ascii="Cambria" w:cs="Cambria" w:eastAsia="Cambria" w:hAnsi="Cambria"/>
          <w:i/>
          <w:iCs/>
          <w:color w:val="5B6273"/>
          <w:sz w:val="18"/>
          <w:szCs w:val="18"/>
        </w:rPr>
        <w:t xml:space="preserve">Şekil 14. Majority Voting ve teknik göstergeler vs ML</w:t>
      </w:r>
    </w:p>
    <w:p>
      <w:pPr>
        <w:pStyle w:val="Heading2"/>
        <w:pBdr>
          <w:bottom w:val="single" w:color="B68900" w:sz="8" w:space="4"/>
        </w:pBdr>
        <w:spacing w:after="140" w:before="360"/>
      </w:pPr>
      <w:r>
        <w:rPr>
          <w:rFonts w:ascii="Cambria" w:cs="Cambria" w:eastAsia="Cambria" w:hAnsi="Cambria"/>
          <w:b/>
          <w:bCs/>
          <w:color w:val="0B2545"/>
          <w:sz w:val="28"/>
          <w:szCs w:val="28"/>
        </w:rPr>
        <w:t xml:space="preserve">4.11 Birleşik (Pooled) Confusion Matrix</w:t>
      </w:r>
    </w:p>
    <w:p>
      <w:pPr>
        <w:spacing w:after="80" w:before="80" w:line="320"/>
      </w:pPr>
      <w:r>
        <w:rPr>
          <w:rFonts w:ascii="Calibri" w:cs="Calibri" w:eastAsia="Calibri" w:hAnsi="Calibri"/>
          <w:color w:val="1F2330"/>
          <w:sz w:val="22"/>
          <w:szCs w:val="22"/>
        </w:rPr>
        <w:t xml:space="preserve">Walk-Forward 7 fold birleştirildiğinde (N = 1400) BiLSTM’in genel performansı: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26"/>
        <w:gridCol w:w="2326"/>
        <w:gridCol w:w="2326"/>
        <w:gridCol w:w="2328"/>
      </w:tblGrid>
      <w:tr>
        <w:tc>
          <w:tcPr>
            <w:tcW w:type="dxa" w:w="2326"/>
            <w:tcBorders>
              <w:top w:val="single" w:color="B68900" w:sz="36"/>
              <w:left w:val="single" w:color="D9DEE7" w:sz="4"/>
              <w:bottom w:val="single" w:color="D9DEE7" w:sz="4"/>
              <w:right w:val="single" w:color="D9DEE7" w:sz="4"/>
            </w:tcBorders>
            <w:shd w:fill="F4F6FA" w:val="clear"/>
            <w:tcMar>
              <w:top w:type="dxa" w:w="220"/>
              <w:left w:type="dxa" w:w="200"/>
              <w:bottom w:type="dxa" w:w="220"/>
              <w:right w:type="dxa" w:w="200"/>
            </w:tcMar>
            <w:vAlign w:val="center"/>
          </w:tcPr>
          <w:p>
            <w:pPr>
              <w:spacing w:after="30" w:before="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0B2545"/>
                <w:sz w:val="44"/>
                <w:szCs w:val="44"/>
              </w:rPr>
              <w:t xml:space="preserve">0,503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5B6273"/>
                <w:spacing w:val="30"/>
                <w:sz w:val="17"/>
                <w:szCs w:val="17"/>
              </w:rPr>
              <w:t xml:space="preserve">ACCURACY</w:t>
            </w:r>
          </w:p>
        </w:tc>
        <w:tc>
          <w:tcPr>
            <w:tcW w:type="dxa" w:w="2326"/>
            <w:tcBorders>
              <w:top w:val="single" w:color="B68900" w:sz="36"/>
              <w:left w:val="single" w:color="D9DEE7" w:sz="4"/>
              <w:bottom w:val="single" w:color="D9DEE7" w:sz="4"/>
              <w:right w:val="single" w:color="D9DEE7" w:sz="4"/>
            </w:tcBorders>
            <w:shd w:fill="F4F6FA" w:val="clear"/>
            <w:tcMar>
              <w:top w:type="dxa" w:w="220"/>
              <w:left w:type="dxa" w:w="200"/>
              <w:bottom w:type="dxa" w:w="220"/>
              <w:right w:type="dxa" w:w="200"/>
            </w:tcMar>
            <w:vAlign w:val="center"/>
          </w:tcPr>
          <w:p>
            <w:pPr>
              <w:spacing w:after="30" w:before="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0B2545"/>
                <w:sz w:val="44"/>
                <w:szCs w:val="44"/>
              </w:rPr>
              <w:t xml:space="preserve">0,473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5B6273"/>
                <w:spacing w:val="30"/>
                <w:sz w:val="17"/>
                <w:szCs w:val="17"/>
              </w:rPr>
              <w:t xml:space="preserve">SENSITIVITY</w:t>
            </w:r>
          </w:p>
        </w:tc>
        <w:tc>
          <w:tcPr>
            <w:tcW w:type="dxa" w:w="2326"/>
            <w:tcBorders>
              <w:top w:val="single" w:color="B68900" w:sz="36"/>
              <w:left w:val="single" w:color="D9DEE7" w:sz="4"/>
              <w:bottom w:val="single" w:color="D9DEE7" w:sz="4"/>
              <w:right w:val="single" w:color="D9DEE7" w:sz="4"/>
            </w:tcBorders>
            <w:shd w:fill="F4F6FA" w:val="clear"/>
            <w:tcMar>
              <w:top w:type="dxa" w:w="220"/>
              <w:left w:type="dxa" w:w="200"/>
              <w:bottom w:type="dxa" w:w="220"/>
              <w:right w:type="dxa" w:w="200"/>
            </w:tcMar>
            <w:vAlign w:val="center"/>
          </w:tcPr>
          <w:p>
            <w:pPr>
              <w:spacing w:after="30" w:before="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0B2545"/>
                <w:sz w:val="44"/>
                <w:szCs w:val="44"/>
              </w:rPr>
              <w:t xml:space="preserve">0,540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5B6273"/>
                <w:spacing w:val="30"/>
                <w:sz w:val="17"/>
                <w:szCs w:val="17"/>
              </w:rPr>
              <w:t xml:space="preserve">SPECIFICITY</w:t>
            </w:r>
          </w:p>
        </w:tc>
        <w:tc>
          <w:tcPr>
            <w:tcW w:type="dxa" w:w="2328"/>
            <w:tcBorders>
              <w:top w:val="single" w:color="B68900" w:sz="36"/>
              <w:left w:val="single" w:color="D9DEE7" w:sz="4"/>
              <w:bottom w:val="single" w:color="D9DEE7" w:sz="4"/>
              <w:right w:val="single" w:color="D9DEE7" w:sz="4"/>
            </w:tcBorders>
            <w:shd w:fill="F4F6FA" w:val="clear"/>
            <w:tcMar>
              <w:top w:type="dxa" w:w="220"/>
              <w:left w:type="dxa" w:w="200"/>
              <w:bottom w:type="dxa" w:w="220"/>
              <w:right w:type="dxa" w:w="200"/>
            </w:tcMar>
            <w:vAlign w:val="center"/>
          </w:tcPr>
          <w:p>
            <w:pPr>
              <w:spacing w:after="30" w:before="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0B2545"/>
                <w:sz w:val="44"/>
                <w:szCs w:val="44"/>
              </w:rPr>
              <w:t xml:space="preserve">0,513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5B6273"/>
                <w:spacing w:val="30"/>
                <w:sz w:val="17"/>
                <w:szCs w:val="17"/>
              </w:rPr>
              <w:t xml:space="preserve">F1-SCORE</w:t>
            </w:r>
          </w:p>
        </w:tc>
      </w:tr>
    </w:tbl>
    <w:p>
      <w:pPr>
        <w:spacing w:after="80" w:before="80" w:line="320"/>
      </w:pPr>
      <w:r>
        <w:rPr>
          <w:rFonts w:ascii="Calibri" w:cs="Calibri" w:eastAsia="Calibri" w:hAnsi="Calibri"/>
          <w:color w:val="1F2330"/>
          <w:sz w:val="22"/>
          <w:szCs w:val="22"/>
        </w:rPr>
        <w:t xml:space="preserve"> 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06"/>
      </w:tblGrid>
      <w:tr>
        <w:trPr>
          <w:tblHeader/>
        </w:trPr>
        <w:tc>
          <w:tcPr>
            <w:tcW w:type="dxa" w:w="4500"/>
            <w:tcBorders>
              <w:top w:val="single" w:color="0B2545" w:sz="12"/>
              <w:left w:val="single" w:color="0B2545" w:sz="4"/>
              <w:bottom w:val="single" w:color="0B2545" w:sz="12"/>
              <w:right w:val="single" w:color="0B2545" w:sz="4"/>
            </w:tcBorders>
            <w:shd w:fill="0B2545" w:val="clear"/>
            <w:tcMar>
              <w:top w:type="dxa" w:w="130"/>
              <w:left w:type="dxa" w:w="160"/>
              <w:bottom w:type="dxa" w:w="13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0"/>
                <w:sz w:val="19"/>
                <w:szCs w:val="19"/>
              </w:rPr>
              <w:t xml:space="preserve">Metrik</w:t>
            </w:r>
          </w:p>
        </w:tc>
        <w:tc>
          <w:tcPr>
            <w:tcW w:type="dxa" w:w="4806"/>
            <w:tcBorders>
              <w:top w:val="single" w:color="0B2545" w:sz="12"/>
              <w:left w:val="single" w:color="0B2545" w:sz="4"/>
              <w:bottom w:val="single" w:color="0B2545" w:sz="12"/>
              <w:right w:val="single" w:color="0B2545" w:sz="4"/>
            </w:tcBorders>
            <w:shd w:fill="0B2545" w:val="clear"/>
            <w:tcMar>
              <w:top w:type="dxa" w:w="130"/>
              <w:left w:type="dxa" w:w="160"/>
              <w:bottom w:type="dxa" w:w="13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0"/>
                <w:sz w:val="19"/>
                <w:szCs w:val="19"/>
              </w:rPr>
              <w:t xml:space="preserve">Değer</w:t>
            </w:r>
          </w:p>
        </w:tc>
      </w:tr>
      <w:tr>
        <w:tc>
          <w:tcPr>
            <w:tcW w:type="dxa" w:w="45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Accuracy</w:t>
            </w:r>
          </w:p>
        </w:tc>
        <w:tc>
          <w:tcPr>
            <w:tcW w:type="dxa" w:w="4806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0,5029</w:t>
            </w:r>
          </w:p>
        </w:tc>
      </w:tr>
      <w:tr>
        <w:tc>
          <w:tcPr>
            <w:tcW w:type="dxa" w:w="45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Sensitivity (Up doğru tahmin oranı)</w:t>
            </w:r>
          </w:p>
        </w:tc>
        <w:tc>
          <w:tcPr>
            <w:tcW w:type="dxa" w:w="4806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0,4729</w:t>
            </w:r>
          </w:p>
        </w:tc>
      </w:tr>
      <w:tr>
        <w:tc>
          <w:tcPr>
            <w:tcW w:type="dxa" w:w="45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Specificity (Down doğru tahmin oranı)</w:t>
            </w:r>
          </w:p>
        </w:tc>
        <w:tc>
          <w:tcPr>
            <w:tcW w:type="dxa" w:w="4806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0,5401</w:t>
            </w:r>
          </w:p>
        </w:tc>
      </w:tr>
      <w:tr>
        <w:tc>
          <w:tcPr>
            <w:tcW w:type="dxa" w:w="45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Precision</w:t>
            </w:r>
          </w:p>
        </w:tc>
        <w:tc>
          <w:tcPr>
            <w:tcW w:type="dxa" w:w="4806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0,5612</w:t>
            </w:r>
          </w:p>
        </w:tc>
      </w:tr>
      <w:tr>
        <w:tc>
          <w:tcPr>
            <w:tcW w:type="dxa" w:w="45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F1-Score</w:t>
            </w:r>
          </w:p>
        </w:tc>
        <w:tc>
          <w:tcPr>
            <w:tcW w:type="dxa" w:w="4806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0,5133</w:t>
            </w:r>
          </w:p>
        </w:tc>
      </w:tr>
      <w:tr>
        <w:tc>
          <w:tcPr>
            <w:tcW w:type="dxa" w:w="45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Toplam Örnek (N)</w:t>
            </w:r>
          </w:p>
        </w:tc>
        <w:tc>
          <w:tcPr>
            <w:tcW w:type="dxa" w:w="4806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1.400</w:t>
            </w:r>
          </w:p>
        </w:tc>
      </w:tr>
      <w:tr>
        <w:tc>
          <w:tcPr>
            <w:tcW w:type="dxa" w:w="45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TP / FP / TN / FN</w:t>
            </w:r>
          </w:p>
        </w:tc>
        <w:tc>
          <w:tcPr>
            <w:tcW w:type="dxa" w:w="4806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367 / 287 / 337 / 409</w:t>
            </w:r>
          </w:p>
        </w:tc>
      </w:tr>
    </w:tbl>
    <w:p>
      <w:pPr>
        <w:spacing w:after="60" w:before="280"/>
        <w:jc w:val="center"/>
      </w:pPr>
      <w:r>
        <w:drawing>
          <wp:inline distT="0" distB="0" distL="0" distR="0">
            <wp:extent cx="4953000" cy="2952750"/>
            <wp:effectExtent t="0" r="0" b="0" l="0"/>
            <wp:docPr id="1" name="20_Pooled_Confusion_Matrix.png" descr="Şekil 15. Pooled Confusion Matrix (7 fold birleşik)" title="Şekil 15. Pooled Confusion Matrix (7 fold birleşik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top w:val="single" w:color="B68900" w:sz="6" w:space="4"/>
        </w:pBdr>
        <w:spacing w:after="280" w:before="0"/>
        <w:jc w:val="center"/>
      </w:pPr>
      <w:r>
        <w:rPr>
          <w:rFonts w:ascii="Cambria" w:cs="Cambria" w:eastAsia="Cambria" w:hAnsi="Cambria"/>
          <w:i/>
          <w:iCs/>
          <w:color w:val="5B6273"/>
          <w:sz w:val="18"/>
          <w:szCs w:val="18"/>
        </w:rPr>
        <w:t xml:space="preserve">Şekil 15. Pooled Confusion Matrix (7 fold birleşik)</w:t>
      </w:r>
    </w:p>
    <w:p>
      <w:pPr>
        <w:pStyle w:val="Heading2"/>
        <w:pBdr>
          <w:bottom w:val="single" w:color="B68900" w:sz="8" w:space="4"/>
        </w:pBdr>
        <w:spacing w:after="140" w:before="360"/>
      </w:pPr>
      <w:r>
        <w:rPr>
          <w:rFonts w:ascii="Cambria" w:cs="Cambria" w:eastAsia="Cambria" w:hAnsi="Cambria"/>
          <w:b/>
          <w:bCs/>
          <w:color w:val="0B2545"/>
          <w:sz w:val="28"/>
          <w:szCs w:val="28"/>
        </w:rPr>
        <w:t xml:space="preserve">4.12 BiLSTM + Multi-Head Attention (v6)</w:t>
      </w:r>
    </w:p>
    <w:p>
      <w:pPr>
        <w:spacing w:after="80" w:before="80" w:line="320"/>
      </w:pPr>
      <w:r>
        <w:rPr>
          <w:rFonts w:ascii="Calibri" w:cs="Calibri" w:eastAsia="Calibri" w:hAnsi="Calibri"/>
          <w:color w:val="1F2330"/>
          <w:sz w:val="22"/>
          <w:szCs w:val="22"/>
        </w:rPr>
        <w:t xml:space="preserve">Çoklu başlık dikkat mekanizmasıyla genişletilen v6 mimarisi de aynı anti-prediktif yönü göstermiştir. λ ∈ {0,00; 0,05; 0,10} ortalamasıyla Acc = 0,443, Spec = 0,532, Sens = 0,359, BalAcc = 0,446, Flip Acc = 0,557, flip_wins = 14/15, mc_count = 0. Bu, etki kaynağının özel olarak BiLSTM’nin gizli durumu olmadığını, attention ile de korunduğunu gösterir.</w:t>
      </w:r>
    </w:p>
    <w:p>
      <w:pPr>
        <w:spacing w:after="60" w:before="280"/>
        <w:jc w:val="center"/>
      </w:pPr>
      <w:r>
        <w:drawing>
          <wp:inline distT="0" distB="0" distL="0" distR="0">
            <wp:extent cx="4953000" cy="2952750"/>
            <wp:effectExtent t="0" r="0" b="0" l="0"/>
            <wp:docPr id="1" name="18_Attention_Heatmap_Bar.png" descr="Şekil 16. BiLSTM + Multi-Head Attention’ın anti-prediktif davranışı" title="Şekil 16. BiLSTM + Multi-Head Attention’ın anti-prediktif davranış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top w:val="single" w:color="B68900" w:sz="6" w:space="4"/>
        </w:pBdr>
        <w:spacing w:after="280" w:before="0"/>
        <w:jc w:val="center"/>
      </w:pPr>
      <w:r>
        <w:rPr>
          <w:rFonts w:ascii="Cambria" w:cs="Cambria" w:eastAsia="Cambria" w:hAnsi="Cambria"/>
          <w:i/>
          <w:iCs/>
          <w:color w:val="5B6273"/>
          <w:sz w:val="18"/>
          <w:szCs w:val="18"/>
        </w:rPr>
        <w:t xml:space="preserve">Şekil 16. BiLSTM + Multi-Head Attention’ın anti-prediktif davranışı</w:t>
      </w:r>
    </w:p>
    <w:p>
      <w:pPr>
        <w:pStyle w:val="Heading2"/>
        <w:pBdr>
          <w:bottom w:val="single" w:color="B68900" w:sz="8" w:space="4"/>
        </w:pBdr>
        <w:spacing w:after="140" w:before="360"/>
      </w:pPr>
      <w:r>
        <w:rPr>
          <w:rFonts w:ascii="Cambria" w:cs="Cambria" w:eastAsia="Cambria" w:hAnsi="Cambria"/>
          <w:b/>
          <w:bCs/>
          <w:color w:val="0B2545"/>
          <w:sz w:val="28"/>
          <w:szCs w:val="28"/>
        </w:rPr>
        <w:t xml:space="preserve">4.13 NASDAQ (AAPL) Kontrolü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700"/>
        <w:gridCol w:w="900"/>
        <w:gridCol w:w="700"/>
        <w:gridCol w:w="1100"/>
        <w:gridCol w:w="1100"/>
        <w:gridCol w:w="1606"/>
      </w:tblGrid>
      <w:tr>
        <w:trPr>
          <w:tblHeader/>
        </w:trPr>
        <w:tc>
          <w:tcPr>
            <w:tcW w:type="dxa" w:w="2200"/>
            <w:tcBorders>
              <w:top w:val="single" w:color="0B2545" w:sz="12"/>
              <w:left w:val="single" w:color="0B2545" w:sz="4"/>
              <w:bottom w:val="single" w:color="0B2545" w:sz="12"/>
              <w:right w:val="single" w:color="0B2545" w:sz="4"/>
            </w:tcBorders>
            <w:shd w:fill="0B2545" w:val="clear"/>
            <w:tcMar>
              <w:top w:type="dxa" w:w="130"/>
              <w:left w:type="dxa" w:w="160"/>
              <w:bottom w:type="dxa" w:w="13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0"/>
                <w:sz w:val="19"/>
                <w:szCs w:val="19"/>
              </w:rPr>
              <w:t xml:space="preserve">Piyasa</w:t>
            </w:r>
          </w:p>
        </w:tc>
        <w:tc>
          <w:tcPr>
            <w:tcW w:type="dxa" w:w="1700"/>
            <w:tcBorders>
              <w:top w:val="single" w:color="0B2545" w:sz="12"/>
              <w:left w:val="single" w:color="0B2545" w:sz="4"/>
              <w:bottom w:val="single" w:color="0B2545" w:sz="12"/>
              <w:right w:val="single" w:color="0B2545" w:sz="4"/>
            </w:tcBorders>
            <w:shd w:fill="0B2545" w:val="clear"/>
            <w:tcMar>
              <w:top w:type="dxa" w:w="130"/>
              <w:left w:type="dxa" w:w="160"/>
              <w:bottom w:type="dxa" w:w="13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0"/>
                <w:sz w:val="19"/>
                <w:szCs w:val="19"/>
              </w:rPr>
              <w:t xml:space="preserve">Grup</w:t>
            </w:r>
          </w:p>
        </w:tc>
        <w:tc>
          <w:tcPr>
            <w:tcW w:type="dxa" w:w="900"/>
            <w:tcBorders>
              <w:top w:val="single" w:color="0B2545" w:sz="12"/>
              <w:left w:val="single" w:color="0B2545" w:sz="4"/>
              <w:bottom w:val="single" w:color="0B2545" w:sz="12"/>
              <w:right w:val="single" w:color="0B2545" w:sz="4"/>
            </w:tcBorders>
            <w:shd w:fill="0B2545" w:val="clear"/>
            <w:tcMar>
              <w:top w:type="dxa" w:w="130"/>
              <w:left w:type="dxa" w:w="160"/>
              <w:bottom w:type="dxa" w:w="13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0"/>
                <w:sz w:val="19"/>
                <w:szCs w:val="19"/>
              </w:rPr>
              <w:t xml:space="preserve">n_feat</w:t>
            </w:r>
          </w:p>
        </w:tc>
        <w:tc>
          <w:tcPr>
            <w:tcW w:type="dxa" w:w="700"/>
            <w:tcBorders>
              <w:top w:val="single" w:color="0B2545" w:sz="12"/>
              <w:left w:val="single" w:color="0B2545" w:sz="4"/>
              <w:bottom w:val="single" w:color="0B2545" w:sz="12"/>
              <w:right w:val="single" w:color="0B2545" w:sz="4"/>
            </w:tcBorders>
            <w:shd w:fill="0B2545" w:val="clear"/>
            <w:tcMar>
              <w:top w:type="dxa" w:w="130"/>
              <w:left w:type="dxa" w:w="160"/>
              <w:bottom w:type="dxa" w:w="13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0"/>
                <w:sz w:val="19"/>
                <w:szCs w:val="19"/>
              </w:rPr>
              <w:t xml:space="preserve">n</w:t>
            </w:r>
          </w:p>
        </w:tc>
        <w:tc>
          <w:tcPr>
            <w:tcW w:type="dxa" w:w="1100"/>
            <w:tcBorders>
              <w:top w:val="single" w:color="0B2545" w:sz="12"/>
              <w:left w:val="single" w:color="0B2545" w:sz="4"/>
              <w:bottom w:val="single" w:color="0B2545" w:sz="12"/>
              <w:right w:val="single" w:color="0B2545" w:sz="4"/>
            </w:tcBorders>
            <w:shd w:fill="0B2545" w:val="clear"/>
            <w:tcMar>
              <w:top w:type="dxa" w:w="130"/>
              <w:left w:type="dxa" w:w="160"/>
              <w:bottom w:type="dxa" w:w="13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0"/>
                <w:sz w:val="19"/>
                <w:szCs w:val="19"/>
              </w:rPr>
              <w:t xml:space="preserve">Mean Acc</w:t>
            </w:r>
          </w:p>
        </w:tc>
        <w:tc>
          <w:tcPr>
            <w:tcW w:type="dxa" w:w="1100"/>
            <w:tcBorders>
              <w:top w:val="single" w:color="0B2545" w:sz="12"/>
              <w:left w:val="single" w:color="0B2545" w:sz="4"/>
              <w:bottom w:val="single" w:color="0B2545" w:sz="12"/>
              <w:right w:val="single" w:color="0B2545" w:sz="4"/>
            </w:tcBorders>
            <w:shd w:fill="0B2545" w:val="clear"/>
            <w:tcMar>
              <w:top w:type="dxa" w:w="130"/>
              <w:left w:type="dxa" w:w="160"/>
              <w:bottom w:type="dxa" w:w="13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0"/>
                <w:sz w:val="19"/>
                <w:szCs w:val="19"/>
              </w:rPr>
              <w:t xml:space="preserve">Mean Flip</w:t>
            </w:r>
          </w:p>
        </w:tc>
        <w:tc>
          <w:tcPr>
            <w:tcW w:type="dxa" w:w="1606"/>
            <w:tcBorders>
              <w:top w:val="single" w:color="0B2545" w:sz="12"/>
              <w:left w:val="single" w:color="0B2545" w:sz="4"/>
              <w:bottom w:val="single" w:color="0B2545" w:sz="12"/>
              <w:right w:val="single" w:color="0B2545" w:sz="4"/>
            </w:tcBorders>
            <w:shd w:fill="0B2545" w:val="clear"/>
            <w:tcMar>
              <w:top w:type="dxa" w:w="130"/>
              <w:left w:type="dxa" w:w="160"/>
              <w:bottom w:type="dxa" w:w="13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0"/>
                <w:sz w:val="19"/>
                <w:szCs w:val="19"/>
              </w:rPr>
              <w:t xml:space="preserve">flip_wins</w:t>
            </w:r>
          </w:p>
        </w:tc>
      </w:tr>
      <w:tr>
        <w:tc>
          <w:tcPr>
            <w:tcW w:type="dxa" w:w="22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BIST_THYAO</w:t>
            </w:r>
          </w:p>
        </w:tc>
        <w:tc>
          <w:tcPr>
            <w:tcW w:type="dxa" w:w="17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full_13</w:t>
            </w:r>
          </w:p>
        </w:tc>
        <w:tc>
          <w:tcPr>
            <w:tcW w:type="dxa" w:w="9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13</w:t>
            </w:r>
          </w:p>
        </w:tc>
        <w:tc>
          <w:tcPr>
            <w:tcW w:type="dxa" w:w="7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1</w:t>
            </w:r>
          </w:p>
        </w:tc>
        <w:tc>
          <w:tcPr>
            <w:tcW w:type="dxa" w:w="11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0,396</w:t>
            </w:r>
          </w:p>
        </w:tc>
        <w:tc>
          <w:tcPr>
            <w:tcW w:type="dxa" w:w="11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0,604</w:t>
            </w:r>
          </w:p>
        </w:tc>
        <w:tc>
          <w:tcPr>
            <w:tcW w:type="dxa" w:w="1606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1 / 1</w:t>
            </w:r>
          </w:p>
        </w:tc>
      </w:tr>
      <w:tr>
        <w:tc>
          <w:tcPr>
            <w:tcW w:type="dxa" w:w="22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BIST_THYAO</w:t>
            </w:r>
          </w:p>
        </w:tc>
        <w:tc>
          <w:tcPr>
            <w:tcW w:type="dxa" w:w="17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no_ext_10</w:t>
            </w:r>
          </w:p>
        </w:tc>
        <w:tc>
          <w:tcPr>
            <w:tcW w:type="dxa" w:w="9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10</w:t>
            </w:r>
          </w:p>
        </w:tc>
        <w:tc>
          <w:tcPr>
            <w:tcW w:type="dxa" w:w="7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1</w:t>
            </w:r>
          </w:p>
        </w:tc>
        <w:tc>
          <w:tcPr>
            <w:tcW w:type="dxa" w:w="11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0,496</w:t>
            </w:r>
          </w:p>
        </w:tc>
        <w:tc>
          <w:tcPr>
            <w:tcW w:type="dxa" w:w="11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0,504</w:t>
            </w:r>
          </w:p>
        </w:tc>
        <w:tc>
          <w:tcPr>
            <w:tcW w:type="dxa" w:w="1606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0 / 1</w:t>
            </w:r>
          </w:p>
        </w:tc>
      </w:tr>
      <w:tr>
        <w:tc>
          <w:tcPr>
            <w:tcW w:type="dxa" w:w="22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NASDAQ_AAPL</w:t>
            </w:r>
          </w:p>
        </w:tc>
        <w:tc>
          <w:tcPr>
            <w:tcW w:type="dxa" w:w="17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full_13</w:t>
            </w:r>
          </w:p>
        </w:tc>
        <w:tc>
          <w:tcPr>
            <w:tcW w:type="dxa" w:w="9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13</w:t>
            </w:r>
          </w:p>
        </w:tc>
        <w:tc>
          <w:tcPr>
            <w:tcW w:type="dxa" w:w="7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3</w:t>
            </w:r>
          </w:p>
        </w:tc>
        <w:tc>
          <w:tcPr>
            <w:tcW w:type="dxa" w:w="11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0,523</w:t>
            </w:r>
          </w:p>
        </w:tc>
        <w:tc>
          <w:tcPr>
            <w:tcW w:type="dxa" w:w="11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0,477</w:t>
            </w:r>
          </w:p>
        </w:tc>
        <w:tc>
          <w:tcPr>
            <w:tcW w:type="dxa" w:w="1606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0 / 3</w:t>
            </w:r>
          </w:p>
        </w:tc>
      </w:tr>
      <w:tr>
        <w:tc>
          <w:tcPr>
            <w:tcW w:type="dxa" w:w="22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NASDAQ_AAPL</w:t>
            </w:r>
          </w:p>
        </w:tc>
        <w:tc>
          <w:tcPr>
            <w:tcW w:type="dxa" w:w="17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no_ext_10</w:t>
            </w:r>
          </w:p>
        </w:tc>
        <w:tc>
          <w:tcPr>
            <w:tcW w:type="dxa" w:w="9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10</w:t>
            </w:r>
          </w:p>
        </w:tc>
        <w:tc>
          <w:tcPr>
            <w:tcW w:type="dxa" w:w="7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3</w:t>
            </w:r>
          </w:p>
        </w:tc>
        <w:tc>
          <w:tcPr>
            <w:tcW w:type="dxa" w:w="11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0,533</w:t>
            </w:r>
          </w:p>
        </w:tc>
        <w:tc>
          <w:tcPr>
            <w:tcW w:type="dxa" w:w="11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0,467</w:t>
            </w:r>
          </w:p>
        </w:tc>
        <w:tc>
          <w:tcPr>
            <w:tcW w:type="dxa" w:w="1606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0 / 3</w:t>
            </w:r>
          </w:p>
        </w:tc>
      </w:tr>
    </w:tbl>
    <w:p>
      <w:pPr>
        <w:spacing w:after="80" w:before="80" w:line="320"/>
      </w:pPr>
      <w:r>
        <w:rPr>
          <w:rFonts w:ascii="Calibri" w:cs="Calibri" w:eastAsia="Calibri" w:hAnsi="Calibri"/>
          <w:color w:val="1F2330"/>
          <w:sz w:val="22"/>
          <w:szCs w:val="22"/>
        </w:rPr>
        <w:t xml:space="preserve">AAPL’da DL hiçbir konfigürasyonda flip &gt; Naive üretmemiştir (0/6). Bu, anti-prediktif rejimin gelişmiş piyasalarda en azından bu boyutta gözlenmediğini ve gelişmekte olan piyasalara özgülük argümanını desteklediğini göstermektedir.</w:t>
      </w:r>
    </w:p>
    <w:p>
      <w:pPr>
        <w:spacing w:after="60" w:before="280"/>
        <w:jc w:val="center"/>
      </w:pPr>
      <w:r>
        <w:drawing>
          <wp:inline distT="0" distB="0" distL="0" distR="0">
            <wp:extent cx="4953000" cy="2952750"/>
            <wp:effectExtent t="0" r="0" b="0" l="0"/>
            <wp:docPr id="1" name="08_Piyasa_Hassasiyet_Heatmap.png" descr="Şekil 17. Piyasa hassasiyet ısı haritası: BIST vs NASDAQ" title="Şekil 17. Piyasa hassasiyet ısı haritası: BIST vs NASDAQ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top w:val="single" w:color="B68900" w:sz="6" w:space="4"/>
        </w:pBdr>
        <w:spacing w:after="280" w:before="0"/>
        <w:jc w:val="center"/>
      </w:pPr>
      <w:r>
        <w:rPr>
          <w:rFonts w:ascii="Cambria" w:cs="Cambria" w:eastAsia="Cambria" w:hAnsi="Cambria"/>
          <w:i/>
          <w:iCs/>
          <w:color w:val="5B6273"/>
          <w:sz w:val="18"/>
          <w:szCs w:val="18"/>
        </w:rPr>
        <w:t xml:space="preserve">Şekil 17. Piyasa hassasiyet ısı haritası: BIST vs NASDAQ</w:t>
      </w:r>
    </w:p>
    <w:p>
      <w:pPr>
        <w:spacing w:after="60" w:before="280"/>
        <w:jc w:val="center"/>
      </w:pPr>
      <w:r>
        <w:drawing>
          <wp:inline distT="0" distB="0" distL="0" distR="0">
            <wp:extent cx="4953000" cy="2952750"/>
            <wp:effectExtent t="0" r="0" b="0" l="0"/>
            <wp:docPr id="1" name="13_Seed_Invariance_Bulgusu.png" descr="Şekil 18. Seed invariance bulgusu (5 seed tutarlılığı)" title="Şekil 18. Seed invariance bulgusu (5 seed tutarlılığı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top w:val="single" w:color="B68900" w:sz="6" w:space="4"/>
        </w:pBdr>
        <w:spacing w:after="280" w:before="0"/>
        <w:jc w:val="center"/>
      </w:pPr>
      <w:r>
        <w:rPr>
          <w:rFonts w:ascii="Cambria" w:cs="Cambria" w:eastAsia="Cambria" w:hAnsi="Cambria"/>
          <w:i/>
          <w:iCs/>
          <w:color w:val="5B6273"/>
          <w:sz w:val="18"/>
          <w:szCs w:val="18"/>
        </w:rPr>
        <w:t xml:space="preserve">Şekil 18. Seed invariance bulgusu (5 seed tutarlılığı)</w:t>
      </w:r>
    </w:p>
    <w:p>
      <w:pPr>
        <w:spacing w:after="60" w:before="280"/>
        <w:jc w:val="center"/>
      </w:pPr>
      <w:r>
        <w:drawing>
          <wp:inline distT="0" distB="0" distL="0" distR="0">
            <wp:extent cx="4953000" cy="2952750"/>
            <wp:effectExtent t="0" r="0" b="0" l="0"/>
            <wp:docPr id="1" name="12_Walkforward_Inconsistency.png" descr="Şekil 19. Walk-forward tutarsızlığı (fold bazlı)" title="Şekil 19. Walk-forward tutarsızlığı (fold bazlı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top w:val="single" w:color="B68900" w:sz="6" w:space="4"/>
        </w:pBdr>
        <w:spacing w:after="280" w:before="0"/>
        <w:jc w:val="center"/>
      </w:pPr>
      <w:r>
        <w:rPr>
          <w:rFonts w:ascii="Cambria" w:cs="Cambria" w:eastAsia="Cambria" w:hAnsi="Cambria"/>
          <w:i/>
          <w:iCs/>
          <w:color w:val="5B6273"/>
          <w:sz w:val="18"/>
          <w:szCs w:val="18"/>
        </w:rPr>
        <w:t xml:space="preserve">Şekil 19. Walk-forward tutarsızlığı (fold bazlı)</w:t>
      </w:r>
    </w:p>
    <w:p>
      <w:pPr>
        <w:spacing w:after="60" w:before="280"/>
        <w:jc w:val="center"/>
      </w:pPr>
      <w:r>
        <w:drawing>
          <wp:inline distT="0" distB="0" distL="0" distR="0">
            <wp:extent cx="4953000" cy="2952750"/>
            <wp:effectExtent t="0" r="0" b="0" l="0"/>
            <wp:docPr id="1" name="01_Sektorel_Kiyaslama_Bar.png" descr="Şekil 20. Sektörel karşılaştırma (Sigorta / Holding / Bankacılık)" title="Şekil 20. Sektörel karşılaştırma (Sigorta / Holding / Bankacılık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top w:val="single" w:color="B68900" w:sz="6" w:space="4"/>
        </w:pBdr>
        <w:spacing w:after="280" w:before="0"/>
        <w:jc w:val="center"/>
      </w:pPr>
      <w:r>
        <w:rPr>
          <w:rFonts w:ascii="Cambria" w:cs="Cambria" w:eastAsia="Cambria" w:hAnsi="Cambria"/>
          <w:i/>
          <w:iCs/>
          <w:color w:val="5B6273"/>
          <w:sz w:val="18"/>
          <w:szCs w:val="18"/>
        </w:rPr>
        <w:t xml:space="preserve">Şekil 20. Sektörel karşılaştırma (Sigorta / Holding / Bankacılık)</w:t>
      </w:r>
    </w:p>
    <w:p>
      <w:r>
        <w:br w:type="page"/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06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68900" w:val="clear"/>
            <w:tcMar>
              <w:top w:type="dxa" w:w="240"/>
              <w:left w:type="dxa" w:w="200"/>
              <w:bottom w:type="dxa" w:w="240"/>
              <w:right w:type="dxa" w:w="2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56"/>
                <w:szCs w:val="56"/>
              </w:rPr>
              <w:t xml:space="preserve">05</w:t>
            </w:r>
          </w:p>
        </w:tc>
        <w:tc>
          <w:tcPr>
            <w:tcW w:type="dxa" w:w="7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2545" w:val="clear"/>
            <w:tcMar>
              <w:top w:type="dxa" w:w="240"/>
              <w:left w:type="dxa" w:w="360"/>
              <w:bottom w:type="dxa" w:w="240"/>
              <w:right w:type="dxa" w:w="2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B68900"/>
                <w:spacing w:val="60"/>
                <w:sz w:val="16"/>
                <w:szCs w:val="16"/>
              </w:rPr>
              <w:t xml:space="preserve">BÖLÜM</w:t>
            </w:r>
          </w:p>
          <w:p>
            <w:pPr>
              <w:spacing w:after="0" w:before="40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36"/>
                <w:szCs w:val="36"/>
              </w:rPr>
              <w:t xml:space="preserve">Deney Envanteri (22 Deney)</w:t>
            </w:r>
          </w:p>
        </w:tc>
      </w:tr>
    </w:tbl>
    <w:p>
      <w:pPr>
        <w:pStyle w:val="Heading1"/>
        <w:spacing w:after="200" w:before="0"/>
      </w:pPr>
      <w:r>
        <w:rPr>
          <w:rFonts w:ascii="Cambria" w:cs="Cambria" w:eastAsia="Cambria" w:hAnsi="Cambria"/>
          <w:color w:val="FFFFFF"/>
          <w:sz w:val="4"/>
          <w:szCs w:val="4"/>
        </w:rPr>
        <w:t xml:space="preserve">Deney Envanteri (22 Deney)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400"/>
        <w:gridCol w:w="800"/>
        <w:gridCol w:w="4506"/>
      </w:tblGrid>
      <w:tr>
        <w:trPr>
          <w:tblHeader/>
        </w:trPr>
        <w:tc>
          <w:tcPr>
            <w:tcW w:type="dxa" w:w="600"/>
            <w:tcBorders>
              <w:top w:val="single" w:color="0B2545" w:sz="12"/>
              <w:left w:val="single" w:color="0B2545" w:sz="4"/>
              <w:bottom w:val="single" w:color="0B2545" w:sz="12"/>
              <w:right w:val="single" w:color="0B2545" w:sz="4"/>
            </w:tcBorders>
            <w:shd w:fill="0B2545" w:val="clear"/>
            <w:tcMar>
              <w:top w:type="dxa" w:w="130"/>
              <w:left w:type="dxa" w:w="160"/>
              <w:bottom w:type="dxa" w:w="13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0"/>
                <w:sz w:val="19"/>
                <w:szCs w:val="19"/>
              </w:rPr>
              <w:t xml:space="preserve">#</w:t>
            </w:r>
          </w:p>
        </w:tc>
        <w:tc>
          <w:tcPr>
            <w:tcW w:type="dxa" w:w="3400"/>
            <w:tcBorders>
              <w:top w:val="single" w:color="0B2545" w:sz="12"/>
              <w:left w:val="single" w:color="0B2545" w:sz="4"/>
              <w:bottom w:val="single" w:color="0B2545" w:sz="12"/>
              <w:right w:val="single" w:color="0B2545" w:sz="4"/>
            </w:tcBorders>
            <w:shd w:fill="0B2545" w:val="clear"/>
            <w:tcMar>
              <w:top w:type="dxa" w:w="130"/>
              <w:left w:type="dxa" w:w="160"/>
              <w:bottom w:type="dxa" w:w="13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0"/>
                <w:sz w:val="19"/>
                <w:szCs w:val="19"/>
              </w:rPr>
              <w:t xml:space="preserve">Deney</w:t>
            </w:r>
          </w:p>
        </w:tc>
        <w:tc>
          <w:tcPr>
            <w:tcW w:type="dxa" w:w="800"/>
            <w:tcBorders>
              <w:top w:val="single" w:color="0B2545" w:sz="12"/>
              <w:left w:val="single" w:color="0B2545" w:sz="4"/>
              <w:bottom w:val="single" w:color="0B2545" w:sz="12"/>
              <w:right w:val="single" w:color="0B2545" w:sz="4"/>
            </w:tcBorders>
            <w:shd w:fill="0B2545" w:val="clear"/>
            <w:tcMar>
              <w:top w:type="dxa" w:w="130"/>
              <w:left w:type="dxa" w:w="160"/>
              <w:bottom w:type="dxa" w:w="13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0"/>
                <w:sz w:val="19"/>
                <w:szCs w:val="19"/>
              </w:rPr>
              <w:t xml:space="preserve">Durum</w:t>
            </w:r>
          </w:p>
        </w:tc>
        <w:tc>
          <w:tcPr>
            <w:tcW w:type="dxa" w:w="4506"/>
            <w:tcBorders>
              <w:top w:val="single" w:color="0B2545" w:sz="12"/>
              <w:left w:val="single" w:color="0B2545" w:sz="4"/>
              <w:bottom w:val="single" w:color="0B2545" w:sz="12"/>
              <w:right w:val="single" w:color="0B2545" w:sz="4"/>
            </w:tcBorders>
            <w:shd w:fill="0B2545" w:val="clear"/>
            <w:tcMar>
              <w:top w:type="dxa" w:w="130"/>
              <w:left w:type="dxa" w:w="160"/>
              <w:bottom w:type="dxa" w:w="13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0"/>
                <w:sz w:val="19"/>
                <w:szCs w:val="19"/>
              </w:rPr>
              <w:t xml:space="preserve">Özet Sonuç</w:t>
            </w:r>
          </w:p>
        </w:tc>
      </w:tr>
      <w:tr>
        <w:tc>
          <w:tcPr>
            <w:tcW w:type="dxa" w:w="6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I.1</w:t>
            </w:r>
          </w:p>
        </w:tc>
        <w:tc>
          <w:tcPr>
            <w:tcW w:type="dxa" w:w="34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Etiket flip teşhisi (THYAO v3)</w:t>
            </w:r>
          </w:p>
        </w:tc>
        <w:tc>
          <w:tcPr>
            <w:tcW w:type="dxa" w:w="8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OK</w:t>
            </w:r>
          </w:p>
        </w:tc>
        <w:tc>
          <w:tcPr>
            <w:tcW w:type="dxa" w:w="4506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15/15 anti-pred, p ≈ 3 × 10⁻⁵</w:t>
            </w:r>
          </w:p>
        </w:tc>
      </w:tr>
      <w:tr>
        <w:tc>
          <w:tcPr>
            <w:tcW w:type="dxa" w:w="6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I.2</w:t>
            </w:r>
          </w:p>
        </w:tc>
        <w:tc>
          <w:tcPr>
            <w:tcW w:type="dxa" w:w="34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MI ölçümü (histogram)</w:t>
            </w:r>
          </w:p>
        </w:tc>
        <w:tc>
          <w:tcPr>
            <w:tcW w:type="dxa" w:w="8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OK</w:t>
            </w:r>
          </w:p>
        </w:tc>
        <w:tc>
          <w:tcPr>
            <w:tcW w:type="dxa" w:w="4506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Full MI HIGH (kalibrasyon ile çürütüldü)</w:t>
            </w:r>
          </w:p>
        </w:tc>
      </w:tr>
      <w:tr>
        <w:tc>
          <w:tcPr>
            <w:tcW w:type="dxa" w:w="6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I.3</w:t>
            </w:r>
          </w:p>
        </w:tc>
        <w:tc>
          <w:tcPr>
            <w:tcW w:type="dxa" w:w="34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Etiket cross-check</w:t>
            </w:r>
          </w:p>
        </w:tc>
        <w:tc>
          <w:tcPr>
            <w:tcW w:type="dxa" w:w="8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OK</w:t>
            </w:r>
          </w:p>
        </w:tc>
        <w:tc>
          <w:tcPr>
            <w:tcW w:type="dxa" w:w="4506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Off-by-one bug elendi</w:t>
            </w:r>
          </w:p>
        </w:tc>
      </w:tr>
      <w:tr>
        <w:tc>
          <w:tcPr>
            <w:tcW w:type="dxa" w:w="6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I.4</w:t>
            </w:r>
          </w:p>
        </w:tc>
        <w:tc>
          <w:tcPr>
            <w:tcW w:type="dxa" w:w="34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Pencereleme ablasyonu (v3b)</w:t>
            </w:r>
          </w:p>
        </w:tc>
        <w:tc>
          <w:tcPr>
            <w:tcW w:type="dxa" w:w="8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OK</w:t>
            </w:r>
          </w:p>
        </w:tc>
        <w:tc>
          <w:tcPr>
            <w:tcW w:type="dxa" w:w="4506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Lag tuzağı elendi, 15/15 anti-pred korundu</w:t>
            </w:r>
          </w:p>
        </w:tc>
      </w:tr>
      <w:tr>
        <w:tc>
          <w:tcPr>
            <w:tcW w:type="dxa" w:w="6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I.5</w:t>
            </w:r>
          </w:p>
        </w:tc>
        <w:tc>
          <w:tcPr>
            <w:tcW w:type="dxa" w:w="34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MI kalibrasyon (permüt. + bootstrap)</w:t>
            </w:r>
          </w:p>
        </w:tc>
        <w:tc>
          <w:tcPr>
            <w:tcW w:type="dxa" w:w="8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OK</w:t>
            </w:r>
          </w:p>
        </w:tc>
        <w:tc>
          <w:tcPr>
            <w:tcW w:type="dxa" w:w="4506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6/6 BIAS_ONLY</w:t>
            </w:r>
          </w:p>
        </w:tc>
      </w:tr>
      <w:tr>
        <w:tc>
          <w:tcPr>
            <w:tcW w:type="dxa" w:w="6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I.6</w:t>
            </w:r>
          </w:p>
        </w:tc>
        <w:tc>
          <w:tcPr>
            <w:tcW w:type="dxa" w:w="34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BES replikasyonu (ALZ/AZS/AMZ)</w:t>
            </w:r>
          </w:p>
        </w:tc>
        <w:tc>
          <w:tcPr>
            <w:tcW w:type="dxa" w:w="8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OK</w:t>
            </w:r>
          </w:p>
        </w:tc>
        <w:tc>
          <w:tcPr>
            <w:tcW w:type="dxa" w:w="4506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Anti-pred YOK (THYAO-spesifik)</w:t>
            </w:r>
          </w:p>
        </w:tc>
      </w:tr>
      <w:tr>
        <w:tc>
          <w:tcPr>
            <w:tcW w:type="dxa" w:w="6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I.7</w:t>
            </w:r>
          </w:p>
        </w:tc>
        <w:tc>
          <w:tcPr>
            <w:tcW w:type="dxa" w:w="34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CW ablasyonu (v3c, CW=NULL)</w:t>
            </w:r>
          </w:p>
        </w:tc>
        <w:tc>
          <w:tcPr>
            <w:tcW w:type="dxa" w:w="8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OK</w:t>
            </w:r>
          </w:p>
        </w:tc>
        <w:tc>
          <w:tcPr>
            <w:tcW w:type="dxa" w:w="4506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15/15 anti-pred (CW-bağımsız)</w:t>
            </w:r>
          </w:p>
        </w:tc>
      </w:tr>
      <w:tr>
        <w:tc>
          <w:tcPr>
            <w:tcW w:type="dxa" w:w="6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I.8</w:t>
            </w:r>
          </w:p>
        </w:tc>
        <w:tc>
          <w:tcPr>
            <w:tcW w:type="dxa" w:w="34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Mimari ablasyonu (7 mimari)</w:t>
            </w:r>
          </w:p>
        </w:tc>
        <w:tc>
          <w:tcPr>
            <w:tcW w:type="dxa" w:w="8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OK</w:t>
            </w:r>
          </w:p>
        </w:tc>
        <w:tc>
          <w:tcPr>
            <w:tcW w:type="dxa" w:w="4506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118/120 anti-pred, McNemar: yön farkı yok</w:t>
            </w:r>
          </w:p>
        </w:tc>
      </w:tr>
      <w:tr>
        <w:tc>
          <w:tcPr>
            <w:tcW w:type="dxa" w:w="6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I.9</w:t>
            </w:r>
          </w:p>
        </w:tc>
        <w:tc>
          <w:tcPr>
            <w:tcW w:type="dxa" w:w="34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Walk-Forward CV (7 fold)</w:t>
            </w:r>
          </w:p>
        </w:tc>
        <w:tc>
          <w:tcPr>
            <w:tcW w:type="dxa" w:w="8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OK</w:t>
            </w:r>
          </w:p>
        </w:tc>
        <w:tc>
          <w:tcPr>
            <w:tcW w:type="dxa" w:w="4506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3/7 fold anti-pred, Fold 2 kümeli</w:t>
            </w:r>
          </w:p>
        </w:tc>
      </w:tr>
      <w:tr>
        <w:tc>
          <w:tcPr>
            <w:tcW w:type="dxa" w:w="6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I.10</w:t>
            </w:r>
          </w:p>
        </w:tc>
        <w:tc>
          <w:tcPr>
            <w:tcW w:type="dxa" w:w="34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BIST multi-stock (THYAO/GARAN/AKBNK)</w:t>
            </w:r>
          </w:p>
        </w:tc>
        <w:tc>
          <w:tcPr>
            <w:tcW w:type="dxa" w:w="8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OK</w:t>
            </w:r>
          </w:p>
        </w:tc>
        <w:tc>
          <w:tcPr>
            <w:tcW w:type="dxa" w:w="4506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Dış değişken olmadan anti-pred YOK</w:t>
            </w:r>
          </w:p>
        </w:tc>
      </w:tr>
      <w:tr>
        <w:tc>
          <w:tcPr>
            <w:tcW w:type="dxa" w:w="6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I.11</w:t>
            </w:r>
          </w:p>
        </w:tc>
        <w:tc>
          <w:tcPr>
            <w:tcW w:type="dxa" w:w="34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Feature ablasyonu (full_13 vs no_ext_10)</w:t>
            </w:r>
          </w:p>
        </w:tc>
        <w:tc>
          <w:tcPr>
            <w:tcW w:type="dxa" w:w="8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OK</w:t>
            </w:r>
          </w:p>
        </w:tc>
        <w:tc>
          <w:tcPr>
            <w:tcW w:type="dxa" w:w="4506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Dış makro değişkenler kaynak</w:t>
            </w:r>
          </w:p>
        </w:tc>
      </w:tr>
      <w:tr>
        <w:tc>
          <w:tcPr>
            <w:tcW w:type="dxa" w:w="6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I.12</w:t>
            </w:r>
          </w:p>
        </w:tc>
        <w:tc>
          <w:tcPr>
            <w:tcW w:type="dxa" w:w="34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Korelasyon kırılması + ablasyon</w:t>
            </w:r>
          </w:p>
        </w:tc>
        <w:tc>
          <w:tcPr>
            <w:tcW w:type="dxa" w:w="8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OK</w:t>
            </w:r>
          </w:p>
        </w:tc>
        <w:tc>
          <w:tcPr>
            <w:tcW w:type="dxa" w:w="4506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USDTRY –0,496; Oil işaret değişti</w:t>
            </w:r>
          </w:p>
        </w:tc>
      </w:tr>
      <w:tr>
        <w:tc>
          <w:tcPr>
            <w:tcW w:type="dxa" w:w="6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I.13</w:t>
            </w:r>
          </w:p>
        </w:tc>
        <w:tc>
          <w:tcPr>
            <w:tcW w:type="dxa" w:w="34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NASDAQ karşılaştırması (AAPL)</w:t>
            </w:r>
          </w:p>
        </w:tc>
        <w:tc>
          <w:tcPr>
            <w:tcW w:type="dxa" w:w="8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OK</w:t>
            </w:r>
          </w:p>
        </w:tc>
        <w:tc>
          <w:tcPr>
            <w:tcW w:type="dxa" w:w="4506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Büyük kırılma var ama anti-pred YOK</w:t>
            </w:r>
          </w:p>
        </w:tc>
      </w:tr>
      <w:tr>
        <w:tc>
          <w:tcPr>
            <w:tcW w:type="dxa" w:w="6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I.14</w:t>
            </w:r>
          </w:p>
        </w:tc>
        <w:tc>
          <w:tcPr>
            <w:tcW w:type="dxa" w:w="34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Majority Voting Ensemble</w:t>
            </w:r>
          </w:p>
        </w:tc>
        <w:tc>
          <w:tcPr>
            <w:tcW w:type="dxa" w:w="8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OK</w:t>
            </w:r>
          </w:p>
        </w:tc>
        <w:tc>
          <w:tcPr>
            <w:tcW w:type="dxa" w:w="4506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8/8 flip &gt; Naive (6 tek + 2 ensemble)</w:t>
            </w:r>
          </w:p>
        </w:tc>
      </w:tr>
      <w:tr>
        <w:tc>
          <w:tcPr>
            <w:tcW w:type="dxa" w:w="6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I.15</w:t>
            </w:r>
          </w:p>
        </w:tc>
        <w:tc>
          <w:tcPr>
            <w:tcW w:type="dxa" w:w="34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BiLSTM + Multi-Head Attention (v6)</w:t>
            </w:r>
          </w:p>
        </w:tc>
        <w:tc>
          <w:tcPr>
            <w:tcW w:type="dxa" w:w="8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OK</w:t>
            </w:r>
          </w:p>
        </w:tc>
        <w:tc>
          <w:tcPr>
            <w:tcW w:type="dxa" w:w="4506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14/15 flip &gt; Naive</w:t>
            </w:r>
          </w:p>
        </w:tc>
      </w:tr>
      <w:tr>
        <w:tc>
          <w:tcPr>
            <w:tcW w:type="dxa" w:w="6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I.16</w:t>
            </w:r>
          </w:p>
        </w:tc>
        <w:tc>
          <w:tcPr>
            <w:tcW w:type="dxa" w:w="34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Rule-based baseline (THYAO)</w:t>
            </w:r>
          </w:p>
        </w:tc>
        <w:tc>
          <w:tcPr>
            <w:tcW w:type="dxa" w:w="8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OK</w:t>
            </w:r>
          </w:p>
        </w:tc>
        <w:tc>
          <w:tcPr>
            <w:tcW w:type="dxa" w:w="4506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0/4 anti-pred, 0/4 beats_naive</w:t>
            </w:r>
          </w:p>
        </w:tc>
      </w:tr>
      <w:tr>
        <w:tc>
          <w:tcPr>
            <w:tcW w:type="dxa" w:w="6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I.17</w:t>
            </w:r>
          </w:p>
        </w:tc>
        <w:tc>
          <w:tcPr>
            <w:tcW w:type="dxa" w:w="34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GARAN doğrulama (DL + ML)</w:t>
            </w:r>
          </w:p>
        </w:tc>
        <w:tc>
          <w:tcPr>
            <w:tcW w:type="dxa" w:w="8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OK</w:t>
            </w:r>
          </w:p>
        </w:tc>
        <w:tc>
          <w:tcPr>
            <w:tcW w:type="dxa" w:w="4506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DL rastgele 7/15; ML Naive düzeyi</w:t>
            </w:r>
          </w:p>
        </w:tc>
      </w:tr>
      <w:tr>
        <w:tc>
          <w:tcPr>
            <w:tcW w:type="dxa" w:w="6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I.18</w:t>
            </w:r>
          </w:p>
        </w:tc>
        <w:tc>
          <w:tcPr>
            <w:tcW w:type="dxa" w:w="34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GARAN korelasyon analizi</w:t>
            </w:r>
          </w:p>
        </w:tc>
        <w:tc>
          <w:tcPr>
            <w:tcW w:type="dxa" w:w="8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OK</w:t>
            </w:r>
          </w:p>
        </w:tc>
        <w:tc>
          <w:tcPr>
            <w:tcW w:type="dxa" w:w="4506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GARAN kırılması THYAO’ya benzer</w:t>
            </w:r>
          </w:p>
        </w:tc>
      </w:tr>
      <w:tr>
        <w:tc>
          <w:tcPr>
            <w:tcW w:type="dxa" w:w="6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I.19</w:t>
            </w:r>
          </w:p>
        </w:tc>
        <w:tc>
          <w:tcPr>
            <w:tcW w:type="dxa" w:w="34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AAPL klasik ML</w:t>
            </w:r>
          </w:p>
        </w:tc>
        <w:tc>
          <w:tcPr>
            <w:tcW w:type="dxa" w:w="8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OK</w:t>
            </w:r>
          </w:p>
        </w:tc>
        <w:tc>
          <w:tcPr>
            <w:tcW w:type="dxa" w:w="4506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0/3 anti-pred, 0/3 beats_naive</w:t>
            </w:r>
          </w:p>
        </w:tc>
      </w:tr>
      <w:tr>
        <w:tc>
          <w:tcPr>
            <w:tcW w:type="dxa" w:w="6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I.20</w:t>
            </w:r>
          </w:p>
        </w:tc>
        <w:tc>
          <w:tcPr>
            <w:tcW w:type="dxa" w:w="34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IN_LEN ablasyonu</w:t>
            </w:r>
          </w:p>
        </w:tc>
        <w:tc>
          <w:tcPr>
            <w:tcW w:type="dxa" w:w="8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OK</w:t>
            </w:r>
          </w:p>
        </w:tc>
        <w:tc>
          <w:tcPr>
            <w:tcW w:type="dxa" w:w="4506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IN_LEN=2 → 8/15; IN_LEN=5,10 → 0/15</w:t>
            </w:r>
          </w:p>
        </w:tc>
      </w:tr>
      <w:tr>
        <w:tc>
          <w:tcPr>
            <w:tcW w:type="dxa" w:w="6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I.21</w:t>
            </w:r>
          </w:p>
        </w:tc>
        <w:tc>
          <w:tcPr>
            <w:tcW w:type="dxa" w:w="34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Walk-Forward × 6 mimari (42 koşu)</w:t>
            </w:r>
          </w:p>
        </w:tc>
        <w:tc>
          <w:tcPr>
            <w:tcW w:type="dxa" w:w="8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OK</w:t>
            </w:r>
          </w:p>
        </w:tc>
        <w:tc>
          <w:tcPr>
            <w:tcW w:type="dxa" w:w="4506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8/42 sıkı anti-pred (%19)</w:t>
            </w:r>
          </w:p>
        </w:tc>
      </w:tr>
      <w:tr>
        <w:tc>
          <w:tcPr>
            <w:tcW w:type="dxa" w:w="6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I.22</w:t>
            </w:r>
          </w:p>
        </w:tc>
        <w:tc>
          <w:tcPr>
            <w:tcW w:type="dxa" w:w="34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Sigorta v2 seed-fix (5 seed)</w:t>
            </w:r>
          </w:p>
        </w:tc>
        <w:tc>
          <w:tcPr>
            <w:tcW w:type="dxa" w:w="8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OK</w:t>
            </w:r>
          </w:p>
        </w:tc>
        <w:tc>
          <w:tcPr>
            <w:tcW w:type="dxa" w:w="4506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2/5 sıkı anti-pred (AKGRT, ANSGR)</w:t>
            </w:r>
          </w:p>
        </w:tc>
      </w:tr>
    </w:tbl>
    <w:p>
      <w:r>
        <w:br w:type="page"/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06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68900" w:val="clear"/>
            <w:tcMar>
              <w:top w:type="dxa" w:w="240"/>
              <w:left w:type="dxa" w:w="200"/>
              <w:bottom w:type="dxa" w:w="240"/>
              <w:right w:type="dxa" w:w="2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56"/>
                <w:szCs w:val="56"/>
              </w:rPr>
              <w:t xml:space="preserve">06</w:t>
            </w:r>
          </w:p>
        </w:tc>
        <w:tc>
          <w:tcPr>
            <w:tcW w:type="dxa" w:w="7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2545" w:val="clear"/>
            <w:tcMar>
              <w:top w:type="dxa" w:w="240"/>
              <w:left w:type="dxa" w:w="360"/>
              <w:bottom w:type="dxa" w:w="240"/>
              <w:right w:type="dxa" w:w="2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B68900"/>
                <w:spacing w:val="60"/>
                <w:sz w:val="16"/>
                <w:szCs w:val="16"/>
              </w:rPr>
              <w:t xml:space="preserve">BÖLÜM</w:t>
            </w:r>
          </w:p>
          <w:p>
            <w:pPr>
              <w:spacing w:after="0" w:before="40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36"/>
                <w:szCs w:val="36"/>
              </w:rPr>
              <w:t xml:space="preserve">Sınırlamalar ve Açık Sorular</w:t>
            </w:r>
          </w:p>
        </w:tc>
      </w:tr>
    </w:tbl>
    <w:p>
      <w:pPr>
        <w:pStyle w:val="Heading1"/>
        <w:spacing w:after="200" w:before="0"/>
      </w:pPr>
      <w:r>
        <w:rPr>
          <w:rFonts w:ascii="Cambria" w:cs="Cambria" w:eastAsia="Cambria" w:hAnsi="Cambria"/>
          <w:color w:val="FFFFFF"/>
          <w:sz w:val="4"/>
          <w:szCs w:val="4"/>
        </w:rPr>
        <w:t xml:space="preserve">Sınırlamalar ve Açık Sorular</w:t>
      </w:r>
    </w:p>
    <w:p>
      <w:pPr>
        <w:pStyle w:val="Heading2"/>
        <w:pBdr>
          <w:bottom w:val="single" w:color="B68900" w:sz="8" w:space="4"/>
        </w:pBdr>
        <w:spacing w:after="140" w:before="360"/>
      </w:pPr>
      <w:r>
        <w:rPr>
          <w:rFonts w:ascii="Cambria" w:cs="Cambria" w:eastAsia="Cambria" w:hAnsi="Cambria"/>
          <w:b/>
          <w:bCs/>
          <w:color w:val="0B2545"/>
          <w:sz w:val="28"/>
          <w:szCs w:val="28"/>
        </w:rPr>
        <w:t xml:space="preserve">6.1 Kapatılmış Sınırlamalar</w:t>
      </w:r>
    </w:p>
    <w:p>
      <w:pPr>
        <w:pStyle w:val="ListParagraph"/>
        <w:numPr>
          <w:ilvl w:val="0"/>
          <w:numId w:val="2"/>
        </w:numPr>
        <w:spacing w:after="50" w:before="50" w:line="300"/>
      </w:pPr>
      <w:r>
        <w:rPr>
          <w:rFonts w:ascii="Calibri" w:cs="Calibri" w:eastAsia="Calibri" w:hAnsi="Calibri"/>
          <w:b/>
          <w:bCs/>
          <w:color w:val="2F6A3E"/>
          <w:sz w:val="22"/>
          <w:szCs w:val="22"/>
        </w:rPr>
        <w:t xml:space="preserve">[OK] </w:t>
      </w:r>
      <w:r>
        <w:rPr>
          <w:rFonts w:ascii="Calibri" w:cs="Calibri" w:eastAsia="Calibri" w:hAnsi="Calibri"/>
          <w:color w:val="1F2330"/>
          <w:sz w:val="22"/>
          <w:szCs w:val="22"/>
        </w:rPr>
        <w:t xml:space="preserve">Lag tuzağı: v3b pencereleme düzeltmesi — anti-pred etki korundu (I.4)</w:t>
      </w:r>
    </w:p>
    <w:p>
      <w:pPr>
        <w:pStyle w:val="ListParagraph"/>
        <w:numPr>
          <w:ilvl w:val="0"/>
          <w:numId w:val="2"/>
        </w:numPr>
        <w:spacing w:after="50" w:before="50" w:line="300"/>
      </w:pPr>
      <w:r>
        <w:rPr>
          <w:rFonts w:ascii="Calibri" w:cs="Calibri" w:eastAsia="Calibri" w:hAnsi="Calibri"/>
          <w:b/>
          <w:bCs/>
          <w:color w:val="2F6A3E"/>
          <w:sz w:val="22"/>
          <w:szCs w:val="22"/>
        </w:rPr>
        <w:t xml:space="preserve">[OK] </w:t>
      </w:r>
      <w:r>
        <w:rPr>
          <w:rFonts w:ascii="Calibri" w:cs="Calibri" w:eastAsia="Calibri" w:hAnsi="Calibri"/>
          <w:color w:val="1F2330"/>
          <w:sz w:val="22"/>
          <w:szCs w:val="22"/>
        </w:rPr>
        <w:t xml:space="preserve">Etiket bug: cross-check ile off-by-one elendi (I.3)</w:t>
      </w:r>
    </w:p>
    <w:p>
      <w:pPr>
        <w:pStyle w:val="ListParagraph"/>
        <w:numPr>
          <w:ilvl w:val="0"/>
          <w:numId w:val="2"/>
        </w:numPr>
        <w:spacing w:after="50" w:before="50" w:line="300"/>
      </w:pPr>
      <w:r>
        <w:rPr>
          <w:rFonts w:ascii="Calibri" w:cs="Calibri" w:eastAsia="Calibri" w:hAnsi="Calibri"/>
          <w:b/>
          <w:bCs/>
          <w:color w:val="2F6A3E"/>
          <w:sz w:val="22"/>
          <w:szCs w:val="22"/>
        </w:rPr>
        <w:t xml:space="preserve">[OK] </w:t>
      </w:r>
      <w:r>
        <w:rPr>
          <w:rFonts w:ascii="Calibri" w:cs="Calibri" w:eastAsia="Calibri" w:hAnsi="Calibri"/>
          <w:color w:val="1F2330"/>
          <w:sz w:val="22"/>
          <w:szCs w:val="22"/>
        </w:rPr>
        <w:t xml:space="preserve">CW artefaktı: CW=NULL’da da 15/15 anti-pred (I.7)</w:t>
      </w:r>
    </w:p>
    <w:p>
      <w:pPr>
        <w:pStyle w:val="ListParagraph"/>
        <w:numPr>
          <w:ilvl w:val="0"/>
          <w:numId w:val="2"/>
        </w:numPr>
        <w:spacing w:after="50" w:before="50" w:line="300"/>
      </w:pPr>
      <w:r>
        <w:rPr>
          <w:rFonts w:ascii="Calibri" w:cs="Calibri" w:eastAsia="Calibri" w:hAnsi="Calibri"/>
          <w:b/>
          <w:bCs/>
          <w:color w:val="2F6A3E"/>
          <w:sz w:val="22"/>
          <w:szCs w:val="22"/>
        </w:rPr>
        <w:t xml:space="preserve">[OK] </w:t>
      </w:r>
      <w:r>
        <w:rPr>
          <w:rFonts w:ascii="Calibri" w:cs="Calibri" w:eastAsia="Calibri" w:hAnsi="Calibri"/>
          <w:color w:val="1F2330"/>
          <w:sz w:val="22"/>
          <w:szCs w:val="22"/>
        </w:rPr>
        <w:t xml:space="preserve">AAPL klasik ML: 3 model, 0/3 anti-pred (I.19)</w:t>
      </w:r>
    </w:p>
    <w:p>
      <w:pPr>
        <w:pStyle w:val="ListParagraph"/>
        <w:numPr>
          <w:ilvl w:val="0"/>
          <w:numId w:val="2"/>
        </w:numPr>
        <w:spacing w:after="50" w:before="50" w:line="300"/>
      </w:pPr>
      <w:r>
        <w:rPr>
          <w:rFonts w:ascii="Calibri" w:cs="Calibri" w:eastAsia="Calibri" w:hAnsi="Calibri"/>
          <w:b/>
          <w:bCs/>
          <w:color w:val="2F6A3E"/>
          <w:sz w:val="22"/>
          <w:szCs w:val="22"/>
        </w:rPr>
        <w:t xml:space="preserve">[OK] </w:t>
      </w:r>
      <w:r>
        <w:rPr>
          <w:rFonts w:ascii="Calibri" w:cs="Calibri" w:eastAsia="Calibri" w:hAnsi="Calibri"/>
          <w:color w:val="1F2330"/>
          <w:sz w:val="22"/>
          <w:szCs w:val="22"/>
        </w:rPr>
        <w:t xml:space="preserve">IN_LEN bağımlılığı: IN_LEN=2’ye özgü (I.20)</w:t>
      </w:r>
    </w:p>
    <w:p>
      <w:pPr>
        <w:pStyle w:val="ListParagraph"/>
        <w:numPr>
          <w:ilvl w:val="0"/>
          <w:numId w:val="2"/>
        </w:numPr>
        <w:spacing w:after="50" w:before="50" w:line="300"/>
      </w:pPr>
      <w:r>
        <w:rPr>
          <w:rFonts w:ascii="Calibri" w:cs="Calibri" w:eastAsia="Calibri" w:hAnsi="Calibri"/>
          <w:b/>
          <w:bCs/>
          <w:color w:val="2F6A3E"/>
          <w:sz w:val="22"/>
          <w:szCs w:val="22"/>
        </w:rPr>
        <w:t xml:space="preserve">[OK] </w:t>
      </w:r>
      <w:r>
        <w:rPr>
          <w:rFonts w:ascii="Calibri" w:cs="Calibri" w:eastAsia="Calibri" w:hAnsi="Calibri"/>
          <w:color w:val="1F2330"/>
          <w:sz w:val="22"/>
          <w:szCs w:val="22"/>
        </w:rPr>
        <w:t xml:space="preserve">Walk-forward × 6 mimari: 8/42 sıkı anti-pred (I.21)</w:t>
      </w:r>
    </w:p>
    <w:p>
      <w:pPr>
        <w:pStyle w:val="ListParagraph"/>
        <w:numPr>
          <w:ilvl w:val="0"/>
          <w:numId w:val="2"/>
        </w:numPr>
        <w:spacing w:after="50" w:before="50" w:line="300"/>
      </w:pPr>
      <w:r>
        <w:rPr>
          <w:rFonts w:ascii="Calibri" w:cs="Calibri" w:eastAsia="Calibri" w:hAnsi="Calibri"/>
          <w:b/>
          <w:bCs/>
          <w:color w:val="2F6A3E"/>
          <w:sz w:val="22"/>
          <w:szCs w:val="22"/>
        </w:rPr>
        <w:t xml:space="preserve">[OK] </w:t>
      </w:r>
      <w:r>
        <w:rPr>
          <w:rFonts w:ascii="Calibri" w:cs="Calibri" w:eastAsia="Calibri" w:hAnsi="Calibri"/>
          <w:color w:val="1F2330"/>
          <w:sz w:val="22"/>
          <w:szCs w:val="22"/>
        </w:rPr>
        <w:t xml:space="preserve">Seed duyarsızlık: v2 seed-fix ile RAYSG std 6,7× iyileşti (I.22)</w:t>
      </w:r>
    </w:p>
    <w:p>
      <w:pPr>
        <w:pStyle w:val="Heading2"/>
        <w:pBdr>
          <w:bottom w:val="single" w:color="B68900" w:sz="8" w:space="4"/>
        </w:pBdr>
        <w:spacing w:after="140" w:before="360"/>
      </w:pPr>
      <w:r>
        <w:rPr>
          <w:rFonts w:ascii="Cambria" w:cs="Cambria" w:eastAsia="Cambria" w:hAnsi="Cambria"/>
          <w:b/>
          <w:bCs/>
          <w:color w:val="0B2545"/>
          <w:sz w:val="28"/>
          <w:szCs w:val="28"/>
        </w:rPr>
        <w:t xml:space="preserve">6.2 Açık Sınırlamalar (2209-A’da kabul edilebilir)</w:t>
      </w:r>
    </w:p>
    <w:p>
      <w:pPr>
        <w:pStyle w:val="ListParagraph"/>
        <w:numPr>
          <w:ilvl w:val="0"/>
          <w:numId w:val="2"/>
        </w:numPr>
        <w:spacing w:after="50" w:before="50" w:line="300"/>
      </w:pPr>
      <w:r>
        <w:rPr>
          <w:rFonts w:ascii="Calibri" w:cs="Calibri" w:eastAsia="Calibri" w:hAnsi="Calibri"/>
          <w:b/>
          <w:bCs/>
          <w:color w:val="A67500"/>
          <w:sz w:val="22"/>
          <w:szCs w:val="22"/>
        </w:rPr>
        <w:t xml:space="preserve">[!] </w:t>
      </w:r>
      <w:r>
        <w:rPr>
          <w:rFonts w:ascii="Calibri" w:cs="Calibri" w:eastAsia="Calibri" w:hAnsi="Calibri"/>
          <w:color w:val="1F2330"/>
          <w:sz w:val="22"/>
          <w:szCs w:val="22"/>
        </w:rPr>
        <w:t xml:space="preserve">AAPL Çelişkisi: Korelasyon kırılması THYAO’dan büyük ama anti-pred YOK — mekanizma eksik.</w:t>
      </w:r>
    </w:p>
    <w:p>
      <w:pPr>
        <w:pStyle w:val="ListParagraph"/>
        <w:numPr>
          <w:ilvl w:val="0"/>
          <w:numId w:val="2"/>
        </w:numPr>
        <w:spacing w:after="50" w:before="50" w:line="300"/>
      </w:pPr>
      <w:r>
        <w:rPr>
          <w:rFonts w:ascii="Calibri" w:cs="Calibri" w:eastAsia="Calibri" w:hAnsi="Calibri"/>
          <w:b/>
          <w:bCs/>
          <w:color w:val="A67500"/>
          <w:sz w:val="22"/>
          <w:szCs w:val="22"/>
        </w:rPr>
        <w:t xml:space="preserve">[!] </w:t>
      </w:r>
      <w:r>
        <w:rPr>
          <w:rFonts w:ascii="Calibri" w:cs="Calibri" w:eastAsia="Calibri" w:hAnsi="Calibri"/>
          <w:color w:val="1F2330"/>
          <w:sz w:val="22"/>
          <w:szCs w:val="22"/>
        </w:rPr>
        <w:t xml:space="preserve">Sektörel n = 10 küçük örneklem: Fisher exact p ≈ 0,44 — ön kanıt, ispat değil.</w:t>
      </w:r>
    </w:p>
    <w:p>
      <w:pPr>
        <w:pStyle w:val="ListParagraph"/>
        <w:numPr>
          <w:ilvl w:val="0"/>
          <w:numId w:val="2"/>
        </w:numPr>
        <w:spacing w:after="50" w:before="50" w:line="300"/>
      </w:pPr>
      <w:r>
        <w:rPr>
          <w:rFonts w:ascii="Calibri" w:cs="Calibri" w:eastAsia="Calibri" w:hAnsi="Calibri"/>
          <w:b/>
          <w:bCs/>
          <w:color w:val="A67500"/>
          <w:sz w:val="22"/>
          <w:szCs w:val="22"/>
        </w:rPr>
        <w:t xml:space="preserve">[!] </w:t>
      </w:r>
      <w:r>
        <w:rPr>
          <w:rFonts w:ascii="Calibri" w:cs="Calibri" w:eastAsia="Calibri" w:hAnsi="Calibri"/>
          <w:color w:val="1F2330"/>
          <w:sz w:val="22"/>
          <w:szCs w:val="22"/>
        </w:rPr>
        <w:t xml:space="preserve">GARAN korelasyon paradoksu: GARAN kırılması THYAO’ya benzer ama anti-pred YOK.</w:t>
      </w:r>
    </w:p>
    <w:p>
      <w:pPr>
        <w:pStyle w:val="ListParagraph"/>
        <w:numPr>
          <w:ilvl w:val="0"/>
          <w:numId w:val="2"/>
        </w:numPr>
        <w:spacing w:after="50" w:before="50" w:line="300"/>
      </w:pPr>
      <w:r>
        <w:rPr>
          <w:rFonts w:ascii="Calibri" w:cs="Calibri" w:eastAsia="Calibri" w:hAnsi="Calibri"/>
          <w:b/>
          <w:bCs/>
          <w:color w:val="A67500"/>
          <w:sz w:val="22"/>
          <w:szCs w:val="22"/>
        </w:rPr>
        <w:t xml:space="preserve">[!] </w:t>
      </w:r>
      <w:r>
        <w:rPr>
          <w:rFonts w:ascii="Calibri" w:cs="Calibri" w:eastAsia="Calibri" w:hAnsi="Calibri"/>
          <w:color w:val="1F2330"/>
          <w:sz w:val="22"/>
          <w:szCs w:val="22"/>
        </w:rPr>
        <w:t xml:space="preserve">MI güvenilirliği: Histogram-MI tamamen bias çıktı; kNN estimator denenmedi.</w:t>
      </w:r>
    </w:p>
    <w:p>
      <w:pPr>
        <w:pStyle w:val="ListParagraph"/>
        <w:numPr>
          <w:ilvl w:val="0"/>
          <w:numId w:val="2"/>
        </w:numPr>
        <w:spacing w:after="50" w:before="50" w:line="300"/>
      </w:pPr>
      <w:r>
        <w:rPr>
          <w:rFonts w:ascii="Calibri" w:cs="Calibri" w:eastAsia="Calibri" w:hAnsi="Calibri"/>
          <w:b/>
          <w:bCs/>
          <w:color w:val="A67500"/>
          <w:sz w:val="22"/>
          <w:szCs w:val="22"/>
        </w:rPr>
        <w:t xml:space="preserve">[!] </w:t>
      </w:r>
      <w:r>
        <w:rPr>
          <w:rFonts w:ascii="Calibri" w:cs="Calibri" w:eastAsia="Calibri" w:hAnsi="Calibri"/>
          <w:color w:val="1F2330"/>
          <w:sz w:val="22"/>
          <w:szCs w:val="22"/>
        </w:rPr>
        <w:t xml:space="preserve">Selective Abstain (v2.c): hiç denenmedi; ADIM L’de planlı.</w:t>
      </w:r>
    </w:p>
    <w:p>
      <w:r>
        <w:br w:type="page"/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06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68900" w:val="clear"/>
            <w:tcMar>
              <w:top w:type="dxa" w:w="240"/>
              <w:left w:type="dxa" w:w="200"/>
              <w:bottom w:type="dxa" w:w="240"/>
              <w:right w:type="dxa" w:w="2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56"/>
                <w:szCs w:val="56"/>
              </w:rPr>
              <w:t xml:space="preserve">07</w:t>
            </w:r>
          </w:p>
        </w:tc>
        <w:tc>
          <w:tcPr>
            <w:tcW w:type="dxa" w:w="7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2545" w:val="clear"/>
            <w:tcMar>
              <w:top w:type="dxa" w:w="240"/>
              <w:left w:type="dxa" w:w="360"/>
              <w:bottom w:type="dxa" w:w="240"/>
              <w:right w:type="dxa" w:w="2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B68900"/>
                <w:spacing w:val="60"/>
                <w:sz w:val="16"/>
                <w:szCs w:val="16"/>
              </w:rPr>
              <w:t xml:space="preserve">BÖLÜM</w:t>
            </w:r>
          </w:p>
          <w:p>
            <w:pPr>
              <w:spacing w:after="0" w:before="40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36"/>
                <w:szCs w:val="36"/>
              </w:rPr>
              <w:t xml:space="preserve">Proje Kararları ve Yönetim</w:t>
            </w:r>
          </w:p>
        </w:tc>
      </w:tr>
    </w:tbl>
    <w:p>
      <w:pPr>
        <w:pStyle w:val="Heading1"/>
        <w:spacing w:after="200" w:before="0"/>
      </w:pPr>
      <w:r>
        <w:rPr>
          <w:rFonts w:ascii="Cambria" w:cs="Cambria" w:eastAsia="Cambria" w:hAnsi="Cambria"/>
          <w:color w:val="FFFFFF"/>
          <w:sz w:val="4"/>
          <w:szCs w:val="4"/>
        </w:rPr>
        <w:t xml:space="preserve">Proje Kararları ve Yönetim</w:t>
      </w:r>
    </w:p>
    <w:p>
      <w:pPr>
        <w:pStyle w:val="Heading2"/>
        <w:pBdr>
          <w:bottom w:val="single" w:color="B68900" w:sz="8" w:space="4"/>
        </w:pBdr>
        <w:spacing w:after="140" w:before="360"/>
      </w:pPr>
      <w:r>
        <w:rPr>
          <w:rFonts w:ascii="Cambria" w:cs="Cambria" w:eastAsia="Cambria" w:hAnsi="Cambria"/>
          <w:b/>
          <w:bCs/>
          <w:color w:val="0B2545"/>
          <w:sz w:val="28"/>
          <w:szCs w:val="28"/>
        </w:rPr>
        <w:t xml:space="preserve">7.1 Netleşmiş Kararlar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06"/>
      </w:tblGrid>
      <w:tr>
        <w:trPr>
          <w:tblHeader/>
        </w:trPr>
        <w:tc>
          <w:tcPr>
            <w:tcW w:type="dxa" w:w="2000"/>
            <w:tcBorders>
              <w:top w:val="single" w:color="0B2545" w:sz="12"/>
              <w:left w:val="single" w:color="0B2545" w:sz="4"/>
              <w:bottom w:val="single" w:color="0B2545" w:sz="12"/>
              <w:right w:val="single" w:color="0B2545" w:sz="4"/>
            </w:tcBorders>
            <w:shd w:fill="0B2545" w:val="clear"/>
            <w:tcMar>
              <w:top w:type="dxa" w:w="130"/>
              <w:left w:type="dxa" w:w="160"/>
              <w:bottom w:type="dxa" w:w="13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0"/>
                <w:sz w:val="19"/>
                <w:szCs w:val="19"/>
              </w:rPr>
              <w:t xml:space="preserve">Karar</w:t>
            </w:r>
          </w:p>
        </w:tc>
        <w:tc>
          <w:tcPr>
            <w:tcW w:type="dxa" w:w="7306"/>
            <w:tcBorders>
              <w:top w:val="single" w:color="0B2545" w:sz="12"/>
              <w:left w:val="single" w:color="0B2545" w:sz="4"/>
              <w:bottom w:val="single" w:color="0B2545" w:sz="12"/>
              <w:right w:val="single" w:color="0B2545" w:sz="4"/>
            </w:tcBorders>
            <w:shd w:fill="0B2545" w:val="clear"/>
            <w:tcMar>
              <w:top w:type="dxa" w:w="130"/>
              <w:left w:type="dxa" w:w="160"/>
              <w:bottom w:type="dxa" w:w="13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0"/>
                <w:sz w:val="19"/>
                <w:szCs w:val="19"/>
              </w:rPr>
              <w:t xml:space="preserve">İçerik</w:t>
            </w:r>
          </w:p>
        </w:tc>
      </w:tr>
      <w:tr>
        <w:tc>
          <w:tcPr>
            <w:tcW w:type="dxa" w:w="20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KARAR-1, 2, 3</w:t>
            </w:r>
          </w:p>
        </w:tc>
        <w:tc>
          <w:tcPr>
            <w:tcW w:type="dxa" w:w="7306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Yürütücü: Mehmet Ali KURT · Yardımcı: Şevval DEMİR · Danışman: Doç. Dr. Övgücan KARADAĞ ERDEMİR</w:t>
            </w:r>
          </w:p>
        </w:tc>
      </w:tr>
      <w:tr>
        <w:tc>
          <w:tcPr>
            <w:tcW w:type="dxa" w:w="20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KARAR-4</w:t>
            </w:r>
          </w:p>
        </w:tc>
        <w:tc>
          <w:tcPr>
            <w:tcW w:type="dxa" w:w="7306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Program: TÜBİTAK 2209-A 2026/2 dönemi (1001/ARDEB değil)</w:t>
            </w:r>
          </w:p>
        </w:tc>
      </w:tr>
      <w:tr>
        <w:tc>
          <w:tcPr>
            <w:tcW w:type="dxa" w:w="20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KARAR-5</w:t>
            </w:r>
          </w:p>
        </w:tc>
        <w:tc>
          <w:tcPr>
            <w:tcW w:type="dxa" w:w="7306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Başvuru: 13/10/2026 – 19/11/2026 (danışman onayı) → 24/11 – 01/12/2026 (kuruluş e-imza) → ~Şubat 2027 hibe</w:t>
            </w:r>
          </w:p>
        </w:tc>
      </w:tr>
      <w:tr>
        <w:tc>
          <w:tcPr>
            <w:tcW w:type="dxa" w:w="20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KARAR-6</w:t>
            </w:r>
          </w:p>
        </w:tc>
        <w:tc>
          <w:tcPr>
            <w:tcW w:type="dxa" w:w="7306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Kapsam: 3 model (vanilla LSTM, vanilla CNN, BiLSTM) × 4 varlık × 9 config × 5 seed (~540 koşu)</w:t>
            </w:r>
          </w:p>
        </w:tc>
      </w:tr>
      <w:tr>
        <w:tc>
          <w:tcPr>
            <w:tcW w:type="dxa" w:w="20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KARAR-7</w:t>
            </w:r>
          </w:p>
        </w:tc>
        <w:tc>
          <w:tcPr>
            <w:tcW w:type="dxa" w:w="7306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Ana mimari: BiLSTM + CW = balanced. Multi-Defense (4 bileşen) terk edildi.</w:t>
            </w:r>
          </w:p>
        </w:tc>
      </w:tr>
      <w:tr>
        <w:tc>
          <w:tcPr>
            <w:tcW w:type="dxa" w:w="20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KARAR-8</w:t>
            </w:r>
          </w:p>
        </w:tc>
        <w:tc>
          <w:tcPr>
            <w:tcW w:type="dxa" w:w="7306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Argüman tonu: ÖLÇÜLÜ. "Keşif" yerine "gözlem / karakterizasyon". Negatif sonuç dürüstçe kabul edilir.</w:t>
            </w:r>
          </w:p>
        </w:tc>
      </w:tr>
      <w:tr>
        <w:tc>
          <w:tcPr>
            <w:tcW w:type="dxa" w:w="20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KARAR-9</w:t>
            </w:r>
          </w:p>
        </w:tc>
        <w:tc>
          <w:tcPr>
            <w:tcW w:type="dxa" w:w="7306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Danışman onayı alındı (19 Mayıs 2026): BiLSTM kullanılacak; MC tuzağı çözümü hedeflenecek.</w:t>
            </w:r>
          </w:p>
        </w:tc>
      </w:tr>
      <w:tr>
        <w:tc>
          <w:tcPr>
            <w:tcW w:type="dxa" w:w="20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F6A3E"/>
                <w:sz w:val="22"/>
                <w:szCs w:val="22"/>
              </w:rPr>
              <w:t xml:space="preserve">KARAR-10</w:t>
            </w:r>
          </w:p>
        </w:tc>
        <w:tc>
          <w:tcPr>
            <w:tcW w:type="dxa" w:w="7306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F6A3E"/>
                <w:sz w:val="22"/>
                <w:szCs w:val="22"/>
              </w:rPr>
              <w:t xml:space="preserve">Ana iddia çerçevesi sabitlendi: </w:t>
            </w:r>
            <w:r>
              <w:rPr>
                <w:rFonts w:ascii="Calibri" w:cs="Calibri" w:eastAsia="Calibri" w:hAnsi="Calibri"/>
                <w:color w:val="1F2330"/>
                <w:sz w:val="22"/>
                <w:szCs w:val="22"/>
              </w:rPr>
              <w:t xml:space="preserve">Y2 + Y4/Y5 birleşik tezi (24 Mayıs 2026). Panel sunumu tek tutarlı iddia üzerinden yapılacaktır: </w:t>
            </w:r>
            <w:r>
              <w:rPr>
                <w:rFonts w:ascii="Calibri" w:cs="Calibri" w:eastAsia="Calibri" w:hAnsi="Calibri"/>
                <w:i/>
                <w:iCs/>
                <w:color w:val="1F2330"/>
                <w:sz w:val="22"/>
                <w:szCs w:val="22"/>
              </w:rPr>
              <w:t xml:space="preserve">"Klasik ML Naive düzeyindedir (sinyal yetersiz); BiLSTM + CW=balanced koşulunda DL ise sistematik ters tahmin üretir (118/120, p ≈ 6 × 10⁻³³). Bu asimetri BIST günlük yön tahmininde DL algoritmik bias’ının imzasıdır."</w:t>
            </w:r>
            <w:r>
              <w:rPr>
                <w:rFonts w:ascii="Calibri" w:cs="Calibri" w:eastAsia="Calibri" w:hAnsi="Calibri"/>
                <w:color w:val="1F2330"/>
                <w:sz w:val="22"/>
                <w:szCs w:val="22"/>
              </w:rPr>
              <w:t xml:space="preserve"> Y3 (TEFAS politika) ve Yorum 3 (Contrarian) yedek tez olarak korunur; Yorum 2 zayıf bulunduğu için ana tezden çıkarılmıştır.</w:t>
            </w:r>
          </w:p>
        </w:tc>
      </w:tr>
    </w:tbl>
    <w:p>
      <w:pPr>
        <w:pStyle w:val="Heading2"/>
        <w:pBdr>
          <w:bottom w:val="single" w:color="B68900" w:sz="8" w:space="4"/>
        </w:pBdr>
        <w:spacing w:after="140" w:before="360"/>
      </w:pPr>
      <w:r>
        <w:rPr>
          <w:rFonts w:ascii="Cambria" w:cs="Cambria" w:eastAsia="Cambria" w:hAnsi="Cambria"/>
          <w:b/>
          <w:bCs/>
          <w:color w:val="0B2545"/>
          <w:sz w:val="28"/>
          <w:szCs w:val="28"/>
        </w:rPr>
        <w:t xml:space="preserve">7.2 Reddedilen Yaklaşımlar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06"/>
      </w:tblGrid>
      <w:tr>
        <w:trPr>
          <w:tblHeader/>
        </w:trPr>
        <w:tc>
          <w:tcPr>
            <w:tcW w:type="dxa" w:w="3200"/>
            <w:tcBorders>
              <w:top w:val="single" w:color="0B2545" w:sz="12"/>
              <w:left w:val="single" w:color="0B2545" w:sz="4"/>
              <w:bottom w:val="single" w:color="0B2545" w:sz="12"/>
              <w:right w:val="single" w:color="0B2545" w:sz="4"/>
            </w:tcBorders>
            <w:shd w:fill="0B2545" w:val="clear"/>
            <w:tcMar>
              <w:top w:type="dxa" w:w="130"/>
              <w:left w:type="dxa" w:w="160"/>
              <w:bottom w:type="dxa" w:w="13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0"/>
                <w:sz w:val="19"/>
                <w:szCs w:val="19"/>
              </w:rPr>
              <w:t xml:space="preserve">Reddedilen</w:t>
            </w:r>
          </w:p>
        </w:tc>
        <w:tc>
          <w:tcPr>
            <w:tcW w:type="dxa" w:w="6106"/>
            <w:tcBorders>
              <w:top w:val="single" w:color="0B2545" w:sz="12"/>
              <w:left w:val="single" w:color="0B2545" w:sz="4"/>
              <w:bottom w:val="single" w:color="0B2545" w:sz="12"/>
              <w:right w:val="single" w:color="0B2545" w:sz="4"/>
            </w:tcBorders>
            <w:shd w:fill="0B2545" w:val="clear"/>
            <w:tcMar>
              <w:top w:type="dxa" w:w="130"/>
              <w:left w:type="dxa" w:w="160"/>
              <w:bottom w:type="dxa" w:w="13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0"/>
                <w:sz w:val="19"/>
                <w:szCs w:val="19"/>
              </w:rPr>
              <w:t xml:space="preserve">Gerekçe</w:t>
            </w:r>
          </w:p>
        </w:tc>
      </w:tr>
      <w:tr>
        <w:tc>
          <w:tcPr>
            <w:tcW w:type="dxa" w:w="32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Transformer (ana mimari olarak)</w:t>
            </w:r>
          </w:p>
        </w:tc>
        <w:tc>
          <w:tcPr>
            <w:tcW w:type="dxa" w:w="6106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262 hafta veri için over-parameterized; lisans için riskli (ablasyon olarak korundu)</w:t>
            </w:r>
          </w:p>
        </w:tc>
      </w:tr>
      <w:tr>
        <w:tc>
          <w:tcPr>
            <w:tcW w:type="dxa" w:w="32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TimeGAN augmentation</w:t>
            </w:r>
          </w:p>
        </w:tc>
        <w:tc>
          <w:tcPr>
            <w:tcW w:type="dxa" w:w="6106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Patolojik örüntü riski; minority sample sayısı yetersiz</w:t>
            </w:r>
          </w:p>
        </w:tc>
      </w:tr>
      <w:tr>
        <w:tc>
          <w:tcPr>
            <w:tcW w:type="dxa" w:w="32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Bayesian MC-Dropout</w:t>
            </w:r>
          </w:p>
        </w:tc>
        <w:tc>
          <w:tcPr>
            <w:tcW w:type="dxa" w:w="6106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Sandbox’ta test edilemiyor; Yön 1 ile büyük örtüşme</w:t>
            </w:r>
          </w:p>
        </w:tc>
      </w:tr>
      <w:tr>
        <w:tc>
          <w:tcPr>
            <w:tcW w:type="dxa" w:w="32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Multi-Task</w:t>
            </w:r>
          </w:p>
        </w:tc>
        <w:tc>
          <w:tcPr>
            <w:tcW w:type="dxa" w:w="6106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262 hafta 4 göreve yetmez; çelişen gradient iddiası teorik olarak zayıf</w:t>
            </w:r>
          </w:p>
        </w:tc>
      </w:tr>
      <w:tr>
        <w:tc>
          <w:tcPr>
            <w:tcW w:type="dxa" w:w="32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MCRF Framework</w:t>
            </w:r>
          </w:p>
        </w:tc>
        <w:tc>
          <w:tcPr>
            <w:tcW w:type="dxa" w:w="6106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Scope çok büyük; 864 deney 12 ayda yapılamaz</w:t>
            </w:r>
          </w:p>
        </w:tc>
      </w:tr>
      <w:tr>
        <w:tc>
          <w:tcPr>
            <w:tcW w:type="dxa" w:w="32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Y1 (Shannon) / Y3 (TEFAS)</w:t>
            </w:r>
          </w:p>
        </w:tc>
        <w:tc>
          <w:tcPr>
            <w:tcW w:type="dxa" w:w="6106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Danışman reddi: felsefi reframe 2209-A için yetersiz (19 Mayıs 2026)</w:t>
            </w:r>
          </w:p>
        </w:tc>
      </w:tr>
      <w:tr>
        <w:tc>
          <w:tcPr>
            <w:tcW w:type="dxa" w:w="32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Multi-Defense bağımsızlık matematiği</w:t>
            </w:r>
          </w:p>
        </w:tc>
        <w:tc>
          <w:tcPr>
            <w:tcW w:type="dxa" w:w="6106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P(MC | all) ≤ ΠP(MC | i) bağımsızlık varsayar; katmanlar bağımlı</w:t>
            </w:r>
          </w:p>
        </w:tc>
      </w:tr>
      <w:tr>
        <w:tc>
          <w:tcPr>
            <w:tcW w:type="dxa" w:w="32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MI iddiaları (C3)</w:t>
            </w:r>
          </w:p>
        </w:tc>
        <w:tc>
          <w:tcPr>
            <w:tcW w:type="dxa" w:w="6106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200 permütasyon kalibrasyonu: full feature MI tamamen histogram bias</w:t>
            </w:r>
          </w:p>
        </w:tc>
      </w:tr>
    </w:tbl>
    <w:p>
      <w:r>
        <w:br w:type="page"/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06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68900" w:val="clear"/>
            <w:tcMar>
              <w:top w:type="dxa" w:w="240"/>
              <w:left w:type="dxa" w:w="200"/>
              <w:bottom w:type="dxa" w:w="240"/>
              <w:right w:type="dxa" w:w="2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56"/>
                <w:szCs w:val="56"/>
              </w:rPr>
              <w:t xml:space="preserve">08</w:t>
            </w:r>
          </w:p>
        </w:tc>
        <w:tc>
          <w:tcPr>
            <w:tcW w:type="dxa" w:w="7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2545" w:val="clear"/>
            <w:tcMar>
              <w:top w:type="dxa" w:w="240"/>
              <w:left w:type="dxa" w:w="360"/>
              <w:bottom w:type="dxa" w:w="240"/>
              <w:right w:type="dxa" w:w="2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B68900"/>
                <w:spacing w:val="60"/>
                <w:sz w:val="16"/>
                <w:szCs w:val="16"/>
              </w:rPr>
              <w:t xml:space="preserve">BÖLÜM</w:t>
            </w:r>
          </w:p>
          <w:p>
            <w:pPr>
              <w:spacing w:after="0" w:before="40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36"/>
                <w:szCs w:val="36"/>
              </w:rPr>
              <w:t xml:space="preserve">Takvim ve Sonraki Adımlar</w:t>
            </w:r>
          </w:p>
        </w:tc>
      </w:tr>
    </w:tbl>
    <w:p>
      <w:pPr>
        <w:pStyle w:val="Heading1"/>
        <w:spacing w:after="200" w:before="0"/>
      </w:pPr>
      <w:r>
        <w:rPr>
          <w:rFonts w:ascii="Cambria" w:cs="Cambria" w:eastAsia="Cambria" w:hAnsi="Cambria"/>
          <w:color w:val="FFFFFF"/>
          <w:sz w:val="4"/>
          <w:szCs w:val="4"/>
        </w:rPr>
        <w:t xml:space="preserve">Takvim ve Sonraki Adımlar</w:t>
      </w:r>
    </w:p>
    <w:p>
      <w:pPr>
        <w:spacing w:after="80" w:before="80" w:line="320"/>
      </w:pPr>
      <w:r>
        <w:rPr>
          <w:rFonts w:ascii="Calibri" w:cs="Calibri" w:eastAsia="Calibri" w:hAnsi="Calibri"/>
          <w:color w:val="1F2330"/>
          <w:sz w:val="22"/>
          <w:szCs w:val="22"/>
        </w:rPr>
        <w:t xml:space="preserve">Bugün (24 Mayıs 2026) → 13 Ekim 2026 ≈ 20 hafta. Yeterli buffer mevcuttur. Aşağıdaki plan ADIM J–N aşamalarını kapsar.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800"/>
        <w:gridCol w:w="3506"/>
      </w:tblGrid>
      <w:tr>
        <w:trPr>
          <w:tblHeader/>
        </w:trPr>
        <w:tc>
          <w:tcPr>
            <w:tcW w:type="dxa" w:w="3000"/>
            <w:tcBorders>
              <w:top w:val="single" w:color="0B2545" w:sz="12"/>
              <w:left w:val="single" w:color="0B2545" w:sz="4"/>
              <w:bottom w:val="single" w:color="0B2545" w:sz="12"/>
              <w:right w:val="single" w:color="0B2545" w:sz="4"/>
            </w:tcBorders>
            <w:shd w:fill="0B2545" w:val="clear"/>
            <w:tcMar>
              <w:top w:type="dxa" w:w="130"/>
              <w:left w:type="dxa" w:w="160"/>
              <w:bottom w:type="dxa" w:w="13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0"/>
                <w:sz w:val="19"/>
                <w:szCs w:val="19"/>
              </w:rPr>
              <w:t xml:space="preserve">Aşama</w:t>
            </w:r>
          </w:p>
        </w:tc>
        <w:tc>
          <w:tcPr>
            <w:tcW w:type="dxa" w:w="2800"/>
            <w:tcBorders>
              <w:top w:val="single" w:color="0B2545" w:sz="12"/>
              <w:left w:val="single" w:color="0B2545" w:sz="4"/>
              <w:bottom w:val="single" w:color="0B2545" w:sz="12"/>
              <w:right w:val="single" w:color="0B2545" w:sz="4"/>
            </w:tcBorders>
            <w:shd w:fill="0B2545" w:val="clear"/>
            <w:tcMar>
              <w:top w:type="dxa" w:w="130"/>
              <w:left w:type="dxa" w:w="160"/>
              <w:bottom w:type="dxa" w:w="13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0"/>
                <w:sz w:val="19"/>
                <w:szCs w:val="19"/>
              </w:rPr>
              <w:t xml:space="preserve">Süre</w:t>
            </w:r>
          </w:p>
        </w:tc>
        <w:tc>
          <w:tcPr>
            <w:tcW w:type="dxa" w:w="3506"/>
            <w:tcBorders>
              <w:top w:val="single" w:color="0B2545" w:sz="12"/>
              <w:left w:val="single" w:color="0B2545" w:sz="4"/>
              <w:bottom w:val="single" w:color="0B2545" w:sz="12"/>
              <w:right w:val="single" w:color="0B2545" w:sz="4"/>
            </w:tcBorders>
            <w:shd w:fill="0B2545" w:val="clear"/>
            <w:tcMar>
              <w:top w:type="dxa" w:w="130"/>
              <w:left w:type="dxa" w:w="160"/>
              <w:bottom w:type="dxa" w:w="13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0"/>
                <w:sz w:val="19"/>
                <w:szCs w:val="19"/>
              </w:rPr>
              <w:t xml:space="preserve">İçerik</w:t>
            </w:r>
          </w:p>
        </w:tc>
      </w:tr>
      <w:tr>
        <w:tc>
          <w:tcPr>
            <w:tcW w:type="dxa" w:w="30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F2330"/>
                <w:sz w:val="22"/>
                <w:szCs w:val="22"/>
              </w:rPr>
              <w:t xml:space="preserve">ADIM J — Hoca Toplantısı</w:t>
            </w:r>
          </w:p>
        </w:tc>
        <w:tc>
          <w:tcPr>
            <w:tcW w:type="dxa" w:w="28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F6A3E"/>
                <w:sz w:val="22"/>
                <w:szCs w:val="22"/>
              </w:rPr>
              <w:t xml:space="preserve">Tamamlandı (24 May 2026)</w:t>
            </w:r>
          </w:p>
        </w:tc>
        <w:tc>
          <w:tcPr>
            <w:tcW w:type="dxa" w:w="3506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F2330"/>
                <w:sz w:val="22"/>
                <w:szCs w:val="22"/>
              </w:rPr>
              <w:t xml:space="preserve">KARAR-10 kapatıldı: Y2 + Y4/Y5 birleşik tezi seçildi.</w:t>
            </w:r>
          </w:p>
        </w:tc>
      </w:tr>
      <w:tr>
        <w:tc>
          <w:tcPr>
            <w:tcW w:type="dxa" w:w="30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ADIM L — Ablasyon</w:t>
            </w:r>
          </w:p>
        </w:tc>
        <w:tc>
          <w:tcPr>
            <w:tcW w:type="dxa" w:w="28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Hazi.–Tem. 2026 (~6 hafta)</w:t>
            </w:r>
          </w:p>
        </w:tc>
        <w:tc>
          <w:tcPr>
            <w:tcW w:type="dxa" w:w="3506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Seçilen iddiaya göre ek deneyler</w:t>
            </w:r>
          </w:p>
        </w:tc>
      </w:tr>
      <w:tr>
        <w:tc>
          <w:tcPr>
            <w:tcW w:type="dxa" w:w="30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ADIM M — Taslak</w:t>
            </w:r>
          </w:p>
        </w:tc>
        <w:tc>
          <w:tcPr>
            <w:tcW w:type="dxa" w:w="28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Ağu.–Eyl. 2026 (~6 hafta)</w:t>
            </w:r>
          </w:p>
        </w:tc>
        <w:tc>
          <w:tcPr>
            <w:tcW w:type="dxa" w:w="3506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Word, ~25 sayfa, Türkçe, 2209-A formatı</w:t>
            </w:r>
          </w:p>
        </w:tc>
      </w:tr>
      <w:tr>
        <w:tc>
          <w:tcPr>
            <w:tcW w:type="dxa" w:w="30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ADIM N — Başvuru</w:t>
            </w:r>
          </w:p>
        </w:tc>
        <w:tc>
          <w:tcPr>
            <w:tcW w:type="dxa" w:w="28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Ekim–Kasım 2026</w:t>
            </w:r>
          </w:p>
        </w:tc>
        <w:tc>
          <w:tcPr>
            <w:tcW w:type="dxa" w:w="3506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13/10 – 19/11 başvuru + 24/11 – 01/12 e-imza</w:t>
            </w:r>
          </w:p>
        </w:tc>
      </w:tr>
    </w:tbl>
    <w:p>
      <w:pPr>
        <w:pStyle w:val="Heading2"/>
        <w:pBdr>
          <w:bottom w:val="single" w:color="B68900" w:sz="8" w:space="4"/>
        </w:pBdr>
        <w:spacing w:after="140" w:before="360"/>
      </w:pPr>
      <w:r>
        <w:rPr>
          <w:rFonts w:ascii="Cambria" w:cs="Cambria" w:eastAsia="Cambria" w:hAnsi="Cambria"/>
          <w:b/>
          <w:bCs/>
          <w:color w:val="0B2545"/>
          <w:sz w:val="28"/>
          <w:szCs w:val="28"/>
        </w:rPr>
        <w:t xml:space="preserve">8.1 Önerilen İddia Çerçeveleri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06"/>
      </w:tblGrid>
      <w:tr>
        <w:trPr>
          <w:tblHeader/>
        </w:trPr>
        <w:tc>
          <w:tcPr>
            <w:tcW w:type="dxa" w:w="2400"/>
            <w:tcBorders>
              <w:top w:val="single" w:color="0B2545" w:sz="12"/>
              <w:left w:val="single" w:color="0B2545" w:sz="4"/>
              <w:bottom w:val="single" w:color="0B2545" w:sz="12"/>
              <w:right w:val="single" w:color="0B2545" w:sz="4"/>
            </w:tcBorders>
            <w:shd w:fill="0B2545" w:val="clear"/>
            <w:tcMar>
              <w:top w:type="dxa" w:w="130"/>
              <w:left w:type="dxa" w:w="160"/>
              <w:bottom w:type="dxa" w:w="13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0"/>
                <w:sz w:val="19"/>
                <w:szCs w:val="19"/>
              </w:rPr>
              <w:t xml:space="preserve">Seçenek</w:t>
            </w:r>
          </w:p>
        </w:tc>
        <w:tc>
          <w:tcPr>
            <w:tcW w:type="dxa" w:w="6906"/>
            <w:tcBorders>
              <w:top w:val="single" w:color="0B2545" w:sz="12"/>
              <w:left w:val="single" w:color="0B2545" w:sz="4"/>
              <w:bottom w:val="single" w:color="0B2545" w:sz="12"/>
              <w:right w:val="single" w:color="0B2545" w:sz="4"/>
            </w:tcBorders>
            <w:shd w:fill="0B2545" w:val="clear"/>
            <w:tcMar>
              <w:top w:type="dxa" w:w="130"/>
              <w:left w:type="dxa" w:w="160"/>
              <w:bottom w:type="dxa" w:w="13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0"/>
                <w:sz w:val="19"/>
                <w:szCs w:val="19"/>
              </w:rPr>
              <w:t xml:space="preserve">İddia</w:t>
            </w:r>
          </w:p>
        </w:tc>
      </w:tr>
      <w:tr>
        <w:tc>
          <w:tcPr>
            <w:tcW w:type="dxa" w:w="24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22"/>
                <w:szCs w:val="22"/>
              </w:rPr>
              <w:t xml:space="preserve">Y2 + Y4/Y5 (Önerilen)</w:t>
            </w:r>
          </w:p>
        </w:tc>
        <w:tc>
          <w:tcPr>
            <w:tcW w:type="dxa" w:w="6906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F2330"/>
                <w:sz w:val="22"/>
                <w:szCs w:val="22"/>
              </w:rPr>
              <w:t xml:space="preserve">"BIST günlük yön tahmininde klasik ML Naive düzeyindedir (sinyal yetersiz). DL ise CW=balanced koşulunda sistematik ters tahmin üretmektedir (118/120 flip &gt; Naive, p ≈ 6 × 10⁻³³). Asimetri DL’in algoritmik bias’ına işaret eder."</w:t>
            </w:r>
          </w:p>
        </w:tc>
      </w:tr>
      <w:tr>
        <w:tc>
          <w:tcPr>
            <w:tcW w:type="dxa" w:w="24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Yorum 3 (Contrarian)</w:t>
            </w:r>
          </w:p>
        </w:tc>
        <w:tc>
          <w:tcPr>
            <w:tcW w:type="dxa" w:w="6906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"THYAO’da 45/45 konfigürasyonda sistematik contrarian davranış. Jegadeesh–Titman (1993) reversal etkisinin BIST lisans-düzey kanıtı."</w:t>
            </w:r>
          </w:p>
        </w:tc>
      </w:tr>
      <w:tr>
        <w:tc>
          <w:tcPr>
            <w:tcW w:type="dxa" w:w="24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Yorum 2 (Klasik)</w:t>
            </w:r>
          </w:p>
        </w:tc>
        <w:tc>
          <w:tcPr>
            <w:tcW w:type="dxa" w:w="6906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"MC tuzağı BiLSTM ile çözüldü. Selective Abstain ile coverage–accuracy dengesi kurulabilir." (Zayıf — Selective denenmedi)</w:t>
            </w:r>
          </w:p>
        </w:tc>
      </w:tr>
    </w:tbl>
    <w:p>
      <w:r>
        <w:br w:type="page"/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06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68900" w:val="clear"/>
            <w:tcMar>
              <w:top w:type="dxa" w:w="240"/>
              <w:left w:type="dxa" w:w="200"/>
              <w:bottom w:type="dxa" w:w="240"/>
              <w:right w:type="dxa" w:w="2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56"/>
                <w:szCs w:val="56"/>
              </w:rPr>
              <w:t xml:space="preserve">09</w:t>
            </w:r>
          </w:p>
        </w:tc>
        <w:tc>
          <w:tcPr>
            <w:tcW w:type="dxa" w:w="7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2545" w:val="clear"/>
            <w:tcMar>
              <w:top w:type="dxa" w:w="240"/>
              <w:left w:type="dxa" w:w="360"/>
              <w:bottom w:type="dxa" w:w="240"/>
              <w:right w:type="dxa" w:w="2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B68900"/>
                <w:spacing w:val="60"/>
                <w:sz w:val="16"/>
                <w:szCs w:val="16"/>
              </w:rPr>
              <w:t xml:space="preserve">BÖLÜM</w:t>
            </w:r>
          </w:p>
          <w:p>
            <w:pPr>
              <w:spacing w:after="0" w:before="40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36"/>
                <w:szCs w:val="36"/>
              </w:rPr>
              <w:t xml:space="preserve">Dosya ve Çıktı Envanteri</w:t>
            </w:r>
          </w:p>
        </w:tc>
      </w:tr>
    </w:tbl>
    <w:p>
      <w:pPr>
        <w:pStyle w:val="Heading1"/>
        <w:spacing w:after="200" w:before="0"/>
      </w:pPr>
      <w:r>
        <w:rPr>
          <w:rFonts w:ascii="Cambria" w:cs="Cambria" w:eastAsia="Cambria" w:hAnsi="Cambria"/>
          <w:color w:val="FFFFFF"/>
          <w:sz w:val="4"/>
          <w:szCs w:val="4"/>
        </w:rPr>
        <w:t xml:space="preserve">Dosya ve Çıktı Envanteri</w:t>
      </w:r>
    </w:p>
    <w:p>
      <w:pPr>
        <w:pStyle w:val="Heading2"/>
        <w:pBdr>
          <w:bottom w:val="single" w:color="B68900" w:sz="8" w:space="4"/>
        </w:pBdr>
        <w:spacing w:after="140" w:before="360"/>
      </w:pPr>
      <w:r>
        <w:rPr>
          <w:rFonts w:ascii="Cambria" w:cs="Cambria" w:eastAsia="Cambria" w:hAnsi="Cambria"/>
          <w:b/>
          <w:bCs/>
          <w:color w:val="0B2545"/>
          <w:sz w:val="28"/>
          <w:szCs w:val="28"/>
        </w:rPr>
        <w:t xml:space="preserve">9.1 Temel Belgeler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06"/>
      </w:tblGrid>
      <w:tr>
        <w:trPr>
          <w:tblHeader/>
        </w:trPr>
        <w:tc>
          <w:tcPr>
            <w:tcW w:type="dxa" w:w="3500"/>
            <w:tcBorders>
              <w:top w:val="single" w:color="0B2545" w:sz="12"/>
              <w:left w:val="single" w:color="0B2545" w:sz="4"/>
              <w:bottom w:val="single" w:color="0B2545" w:sz="12"/>
              <w:right w:val="single" w:color="0B2545" w:sz="4"/>
            </w:tcBorders>
            <w:shd w:fill="0B2545" w:val="clear"/>
            <w:tcMar>
              <w:top w:type="dxa" w:w="130"/>
              <w:left w:type="dxa" w:w="160"/>
              <w:bottom w:type="dxa" w:w="13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0"/>
                <w:sz w:val="19"/>
                <w:szCs w:val="19"/>
              </w:rPr>
              <w:t xml:space="preserve">Dosya</w:t>
            </w:r>
          </w:p>
        </w:tc>
        <w:tc>
          <w:tcPr>
            <w:tcW w:type="dxa" w:w="5806"/>
            <w:tcBorders>
              <w:top w:val="single" w:color="0B2545" w:sz="12"/>
              <w:left w:val="single" w:color="0B2545" w:sz="4"/>
              <w:bottom w:val="single" w:color="0B2545" w:sz="12"/>
              <w:right w:val="single" w:color="0B2545" w:sz="4"/>
            </w:tcBorders>
            <w:shd w:fill="0B2545" w:val="clear"/>
            <w:tcMar>
              <w:top w:type="dxa" w:w="130"/>
              <w:left w:type="dxa" w:w="160"/>
              <w:bottom w:type="dxa" w:w="13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0"/>
                <w:sz w:val="19"/>
                <w:szCs w:val="19"/>
              </w:rPr>
              <w:t xml:space="preserve">Açıklama</w:t>
            </w:r>
          </w:p>
        </w:tc>
      </w:tr>
      <w:tr>
        <w:tc>
          <w:tcPr>
            <w:tcW w:type="dxa" w:w="35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Docs/PROJE_DURUMU.txt</w:t>
            </w:r>
          </w:p>
        </w:tc>
        <w:tc>
          <w:tcPr>
            <w:tcW w:type="dxa" w:w="5806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Bu projenin tek aktif kaydı (append-only, 12 bölüm, ~6.500 satır)</w:t>
            </w:r>
          </w:p>
        </w:tc>
      </w:tr>
      <w:tr>
        <w:tc>
          <w:tcPr>
            <w:tcW w:type="dxa" w:w="35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Docs/TUBITAK_2209A_Proje_Durumu.docx</w:t>
            </w:r>
          </w:p>
        </w:tc>
        <w:tc>
          <w:tcPr>
            <w:tcW w:type="dxa" w:w="5806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Bu belge · 22 deney + tüm bulgular + 9 sınırlama + 20 görsel · CSV uyumlu</w:t>
            </w:r>
          </w:p>
        </w:tc>
      </w:tr>
      <w:tr>
        <w:tc>
          <w:tcPr>
            <w:tcW w:type="dxa" w:w="35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Docs/MC_AWARE_Birlesitirilmis_Rapor.docx</w:t>
            </w:r>
          </w:p>
        </w:tc>
        <w:tc>
          <w:tcPr>
            <w:tcW w:type="dxa" w:w="5806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Tüm raporların birleşik Word belgesi</w:t>
            </w:r>
          </w:p>
        </w:tc>
      </w:tr>
      <w:tr>
        <w:tc>
          <w:tcPr>
            <w:tcW w:type="dxa" w:w="35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Docs/Dashboard/index.html</w:t>
            </w:r>
          </w:p>
        </w:tc>
        <w:tc>
          <w:tcPr>
            <w:tcW w:type="dxa" w:w="5806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Tek dosya interaktif dashboard (Base64 gömülü, internet gerektirmez)</w:t>
            </w:r>
          </w:p>
        </w:tc>
      </w:tr>
      <w:tr>
        <w:tc>
          <w:tcPr>
            <w:tcW w:type="dxa" w:w="35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README.md</w:t>
            </w:r>
          </w:p>
        </w:tc>
        <w:tc>
          <w:tcPr>
            <w:tcW w:type="dxa" w:w="5806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Açık Bilim beyanı + proje yapısı (GitHub)</w:t>
            </w:r>
          </w:p>
        </w:tc>
      </w:tr>
    </w:tbl>
    <w:p>
      <w:pPr>
        <w:pStyle w:val="Heading2"/>
        <w:pBdr>
          <w:bottom w:val="single" w:color="B68900" w:sz="8" w:space="4"/>
        </w:pBdr>
        <w:spacing w:after="140" w:before="360"/>
      </w:pPr>
      <w:r>
        <w:rPr>
          <w:rFonts w:ascii="Cambria" w:cs="Cambria" w:eastAsia="Cambria" w:hAnsi="Cambria"/>
          <w:b/>
          <w:bCs/>
          <w:color w:val="0B2545"/>
          <w:sz w:val="28"/>
          <w:szCs w:val="28"/>
        </w:rPr>
        <w:t xml:space="preserve">9.2 Kod Yapısı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06"/>
      </w:tblGrid>
      <w:tr>
        <w:trPr>
          <w:tblHeader/>
        </w:trPr>
        <w:tc>
          <w:tcPr>
            <w:tcW w:type="dxa" w:w="2800"/>
            <w:tcBorders>
              <w:top w:val="single" w:color="0B2545" w:sz="12"/>
              <w:left w:val="single" w:color="0B2545" w:sz="4"/>
              <w:bottom w:val="single" w:color="0B2545" w:sz="12"/>
              <w:right w:val="single" w:color="0B2545" w:sz="4"/>
            </w:tcBorders>
            <w:shd w:fill="0B2545" w:val="clear"/>
            <w:tcMar>
              <w:top w:type="dxa" w:w="130"/>
              <w:left w:type="dxa" w:w="160"/>
              <w:bottom w:type="dxa" w:w="13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0"/>
                <w:sz w:val="19"/>
                <w:szCs w:val="19"/>
              </w:rPr>
              <w:t xml:space="preserve">Klasör</w:t>
            </w:r>
          </w:p>
        </w:tc>
        <w:tc>
          <w:tcPr>
            <w:tcW w:type="dxa" w:w="6506"/>
            <w:tcBorders>
              <w:top w:val="single" w:color="0B2545" w:sz="12"/>
              <w:left w:val="single" w:color="0B2545" w:sz="4"/>
              <w:bottom w:val="single" w:color="0B2545" w:sz="12"/>
              <w:right w:val="single" w:color="0B2545" w:sz="4"/>
            </w:tcBorders>
            <w:shd w:fill="0B2545" w:val="clear"/>
            <w:tcMar>
              <w:top w:type="dxa" w:w="130"/>
              <w:left w:type="dxa" w:w="160"/>
              <w:bottom w:type="dxa" w:w="13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0"/>
                <w:sz w:val="19"/>
                <w:szCs w:val="19"/>
              </w:rPr>
              <w:t xml:space="preserve">İçerik</w:t>
            </w:r>
          </w:p>
        </w:tc>
      </w:tr>
      <w:tr>
        <w:tc>
          <w:tcPr>
            <w:tcW w:type="dxa" w:w="28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Kodlar/01_prototypes/</w:t>
            </w:r>
          </w:p>
        </w:tc>
        <w:tc>
          <w:tcPr>
            <w:tcW w:type="dxa" w:w="6506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BiLSTM v1.1, v2a, v2b, v2b_fix, v3, v3b, v3c, v6 THYAO prototipleri</w:t>
            </w:r>
          </w:p>
        </w:tc>
      </w:tr>
      <w:tr>
        <w:tc>
          <w:tcPr>
            <w:tcW w:type="dxa" w:w="28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Kodlar/02_ablation/</w:t>
            </w:r>
          </w:p>
        </w:tc>
        <w:tc>
          <w:tcPr>
            <w:tcW w:type="dxa" w:w="6506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Feature, IN_LEN, CW, korelasyon, mimari, GARAN ablasyon scriptleri</w:t>
            </w:r>
          </w:p>
        </w:tc>
      </w:tr>
      <w:tr>
        <w:tc>
          <w:tcPr>
            <w:tcW w:type="dxa" w:w="28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Kodlar/03_validation/</w:t>
            </w:r>
          </w:p>
        </w:tc>
        <w:tc>
          <w:tcPr>
            <w:tcW w:type="dxa" w:w="6506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Walk-Forward CV (tekli + 6 mimari), BES fon replikasyonu</w:t>
            </w:r>
          </w:p>
        </w:tc>
      </w:tr>
      <w:tr>
        <w:tc>
          <w:tcPr>
            <w:tcW w:type="dxa" w:w="28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Kodlar/04_baseline/</w:t>
            </w:r>
          </w:p>
        </w:tc>
        <w:tc>
          <w:tcPr>
            <w:tcW w:type="dxa" w:w="6506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Rule-based (THYAO, GARAN, AAPL), Majority Voting, Ensemble</w:t>
            </w:r>
          </w:p>
        </w:tc>
      </w:tr>
      <w:tr>
        <w:tc>
          <w:tcPr>
            <w:tcW w:type="dxa" w:w="28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Kodlar/05_diagnostic/</w:t>
            </w:r>
          </w:p>
        </w:tc>
        <w:tc>
          <w:tcPr>
            <w:tcW w:type="dxa" w:w="6506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MI kalibrasyon, etiket cross-check, multi-arch McNemar</w:t>
            </w:r>
          </w:p>
        </w:tc>
      </w:tr>
      <w:tr>
        <w:tc>
          <w:tcPr>
            <w:tcW w:type="dxa" w:w="28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Kodlar/06_ek_deneyler/</w:t>
            </w:r>
          </w:p>
        </w:tc>
        <w:tc>
          <w:tcPr>
            <w:tcW w:type="dxa" w:w="6506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BIST-5 sigorta (+ Attention), BIST-5 holding, görselleştirme</w:t>
            </w:r>
          </w:p>
        </w:tc>
      </w:tr>
      <w:tr>
        <w:tc>
          <w:tcPr>
            <w:tcW w:type="dxa" w:w="28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Kodlar/07_faz2_deneyler/</w:t>
            </w:r>
          </w:p>
        </w:tc>
        <w:tc>
          <w:tcPr>
            <w:tcW w:type="dxa" w:w="6506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Faz 2 analizleri ve görselleştirme scriptleri</w:t>
            </w:r>
          </w:p>
        </w:tc>
      </w:tr>
      <w:tr>
        <w:tc>
          <w:tcPr>
            <w:tcW w:type="dxa" w:w="28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Kodlar/FINAL_RELEASE/</w:t>
            </w:r>
          </w:p>
        </w:tc>
        <w:tc>
          <w:tcPr>
            <w:tcW w:type="dxa" w:w="6506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Nihai yayın paketi (7 R + 1 README = 8 dosya)</w:t>
            </w:r>
          </w:p>
        </w:tc>
      </w:tr>
    </w:tbl>
    <w:p>
      <w:pPr>
        <w:pStyle w:val="Heading2"/>
        <w:pBdr>
          <w:bottom w:val="single" w:color="B68900" w:sz="8" w:space="4"/>
        </w:pBdr>
        <w:spacing w:after="140" w:before="360"/>
      </w:pPr>
      <w:r>
        <w:rPr>
          <w:rFonts w:ascii="Cambria" w:cs="Cambria" w:eastAsia="Cambria" w:hAnsi="Cambria"/>
          <w:b/>
          <w:bCs/>
          <w:color w:val="0B2545"/>
          <w:sz w:val="28"/>
          <w:szCs w:val="28"/>
        </w:rPr>
        <w:t xml:space="preserve">9.3 Çıktı Klasörleri</w:t>
      </w:r>
    </w:p>
    <w:p>
      <w:pPr>
        <w:pStyle w:val="ListParagraph"/>
        <w:numPr>
          <w:ilvl w:val="0"/>
          <w:numId w:val="2"/>
        </w:numPr>
        <w:spacing w:after="50" w:before="50" w:line="300"/>
      </w:pPr>
      <w:r>
        <w:rPr>
          <w:rFonts w:ascii="Calibri" w:cs="Calibri" w:eastAsia="Calibri" w:hAnsi="Calibri"/>
          <w:color w:val="1F2330"/>
          <w:sz w:val="22"/>
          <w:szCs w:val="22"/>
        </w:rPr>
        <w:t xml:space="preserve">Sonuclar/summaries/ — 60+ SUMMARY/RESULTS/STRICT/MATRIX CSV (bu raporun ground-truth’u)</w:t>
      </w:r>
    </w:p>
    <w:p>
      <w:pPr>
        <w:pStyle w:val="ListParagraph"/>
        <w:numPr>
          <w:ilvl w:val="0"/>
          <w:numId w:val="2"/>
        </w:numPr>
        <w:spacing w:after="50" w:before="50" w:line="300"/>
      </w:pPr>
      <w:r>
        <w:rPr>
          <w:rFonts w:ascii="Calibri" w:cs="Calibri" w:eastAsia="Calibri" w:hAnsi="Calibri"/>
          <w:color w:val="1F2330"/>
          <w:sz w:val="22"/>
          <w:szCs w:val="22"/>
        </w:rPr>
        <w:t xml:space="preserve">Sonuclar/diagnostics/ — Korelasyon, McNemar, MI kalibrasyon, seed varyans CSV’leri</w:t>
      </w:r>
    </w:p>
    <w:p>
      <w:pPr>
        <w:pStyle w:val="ListParagraph"/>
        <w:numPr>
          <w:ilvl w:val="0"/>
          <w:numId w:val="2"/>
        </w:numPr>
        <w:spacing w:after="50" w:before="50" w:line="300"/>
      </w:pPr>
      <w:r>
        <w:rPr>
          <w:rFonts w:ascii="Calibri" w:cs="Calibri" w:eastAsia="Calibri" w:hAnsi="Calibri"/>
          <w:color w:val="1F2330"/>
          <w:sz w:val="22"/>
          <w:szCs w:val="22"/>
        </w:rPr>
        <w:t xml:space="preserve">Sonuclar/predictions/ — Tüm tahmin serileri (örnek-bazlı ŷ değerleri)</w:t>
      </w:r>
    </w:p>
    <w:p>
      <w:pPr>
        <w:pStyle w:val="ListParagraph"/>
        <w:numPr>
          <w:ilvl w:val="0"/>
          <w:numId w:val="2"/>
        </w:numPr>
        <w:spacing w:after="50" w:before="50" w:line="300"/>
      </w:pPr>
      <w:r>
        <w:rPr>
          <w:rFonts w:ascii="Calibri" w:cs="Calibri" w:eastAsia="Calibri" w:hAnsi="Calibri"/>
          <w:color w:val="1F2330"/>
          <w:sz w:val="22"/>
          <w:szCs w:val="22"/>
        </w:rPr>
        <w:t xml:space="preserve">Sonuclar/thresholds/ — Olasılık eşik ızgaraları (Acc/F1/BalAcc taraması)</w:t>
      </w:r>
    </w:p>
    <w:p>
      <w:pPr>
        <w:pStyle w:val="ListParagraph"/>
        <w:numPr>
          <w:ilvl w:val="0"/>
          <w:numId w:val="2"/>
        </w:numPr>
        <w:spacing w:after="50" w:before="50" w:line="300"/>
      </w:pPr>
      <w:r>
        <w:rPr>
          <w:rFonts w:ascii="Calibri" w:cs="Calibri" w:eastAsia="Calibri" w:hAnsi="Calibri"/>
          <w:color w:val="1F2330"/>
          <w:sz w:val="22"/>
          <w:szCs w:val="22"/>
        </w:rPr>
        <w:t xml:space="preserve">Gorseller/ — 20 yüksek çözünürlüklü PNG (300 DPI)</w:t>
      </w:r>
    </w:p>
    <w:p>
      <w:pPr>
        <w:pStyle w:val="Heading2"/>
        <w:pBdr>
          <w:bottom w:val="single" w:color="B68900" w:sz="8" w:space="4"/>
        </w:pBdr>
        <w:spacing w:after="140" w:before="360"/>
      </w:pPr>
      <w:r>
        <w:rPr>
          <w:rFonts w:ascii="Cambria" w:cs="Cambria" w:eastAsia="Cambria" w:hAnsi="Cambria"/>
          <w:b/>
          <w:bCs/>
          <w:color w:val="0B2545"/>
          <w:sz w:val="28"/>
          <w:szCs w:val="28"/>
        </w:rPr>
        <w:t xml:space="preserve">9.4 Proje Anayasası</w:t>
      </w:r>
    </w:p>
    <w:p>
      <w:pPr>
        <w:pStyle w:val="ListParagraph"/>
        <w:numPr>
          <w:ilvl w:val="0"/>
          <w:numId w:val="2"/>
        </w:numPr>
        <w:spacing w:after="50" w:before="50" w:line="300"/>
      </w:pPr>
      <w:r>
        <w:rPr>
          <w:rFonts w:ascii="Calibri" w:cs="Calibri" w:eastAsia="Calibri" w:hAnsi="Calibri"/>
          <w:b/>
          <w:bCs/>
          <w:color w:val="0B2545"/>
          <w:sz w:val="22"/>
          <w:szCs w:val="22"/>
        </w:rPr>
        <w:t xml:space="preserve">CSV Anayasası: </w:t>
      </w:r>
      <w:r>
        <w:rPr>
          <w:rFonts w:ascii="Calibri" w:cs="Calibri" w:eastAsia="Calibri" w:hAnsi="Calibri"/>
          <w:color w:val="1F2330"/>
          <w:sz w:val="22"/>
          <w:szCs w:val="22"/>
        </w:rPr>
        <w:t xml:space="preserve">CSV ground-truth dosyaları kesinlikle değiştirilemez; sadece okunur.</w:t>
      </w:r>
    </w:p>
    <w:p>
      <w:pPr>
        <w:pStyle w:val="ListParagraph"/>
        <w:numPr>
          <w:ilvl w:val="0"/>
          <w:numId w:val="2"/>
        </w:numPr>
        <w:spacing w:after="50" w:before="50" w:line="300"/>
      </w:pPr>
      <w:r>
        <w:rPr>
          <w:rFonts w:ascii="Calibri" w:cs="Calibri" w:eastAsia="Calibri" w:hAnsi="Calibri"/>
          <w:b/>
          <w:bCs/>
          <w:color w:val="0B2545"/>
          <w:sz w:val="22"/>
          <w:szCs w:val="22"/>
        </w:rPr>
        <w:t xml:space="preserve">PROJE_DURUMU.txt dokunulmazlığı: </w:t>
      </w:r>
      <w:r>
        <w:rPr>
          <w:rFonts w:ascii="Calibri" w:cs="Calibri" w:eastAsia="Calibri" w:hAnsi="Calibri"/>
          <w:color w:val="1F2330"/>
          <w:sz w:val="22"/>
          <w:szCs w:val="22"/>
        </w:rPr>
        <w:t xml:space="preserve">Geçmiş bölümler silinemez; sadece en sona eklenir (append-only).</w:t>
      </w:r>
    </w:p>
    <w:p>
      <w:pPr>
        <w:pStyle w:val="ListParagraph"/>
        <w:numPr>
          <w:ilvl w:val="0"/>
          <w:numId w:val="2"/>
        </w:numPr>
        <w:spacing w:after="50" w:before="50" w:line="300"/>
      </w:pPr>
      <w:r>
        <w:rPr>
          <w:rFonts w:ascii="Calibri" w:cs="Calibri" w:eastAsia="Calibri" w:hAnsi="Calibri"/>
          <w:b/>
          <w:bCs/>
          <w:color w:val="0B2545"/>
          <w:sz w:val="22"/>
          <w:szCs w:val="22"/>
        </w:rPr>
        <w:t xml:space="preserve">Eski hataların silinmesi: </w:t>
      </w:r>
      <w:r>
        <w:rPr>
          <w:rFonts w:ascii="Calibri" w:cs="Calibri" w:eastAsia="Calibri" w:hAnsi="Calibri"/>
          <w:color w:val="1F2330"/>
          <w:sz w:val="22"/>
          <w:szCs w:val="22"/>
        </w:rPr>
        <w:t xml:space="preserve">Düzeltilen hatalar nihai rapordan çıkarılır; sadece temiz hali kalır.</w:t>
      </w:r>
    </w:p>
    <w:p>
      <w:pPr>
        <w:pStyle w:val="ListParagraph"/>
        <w:numPr>
          <w:ilvl w:val="0"/>
          <w:numId w:val="2"/>
        </w:numPr>
        <w:spacing w:after="50" w:before="50" w:line="300"/>
      </w:pPr>
      <w:r>
        <w:rPr>
          <w:rFonts w:ascii="Calibri" w:cs="Calibri" w:eastAsia="Calibri" w:hAnsi="Calibri"/>
          <w:b/>
          <w:bCs/>
          <w:color w:val="0B2545"/>
          <w:sz w:val="22"/>
          <w:szCs w:val="22"/>
        </w:rPr>
        <w:t xml:space="preserve">Dosya hijyeni: </w:t>
      </w:r>
      <w:r>
        <w:rPr>
          <w:rFonts w:ascii="Calibri" w:cs="Calibri" w:eastAsia="Calibri" w:hAnsi="Calibri"/>
          <w:color w:val="1F2330"/>
          <w:sz w:val="22"/>
          <w:szCs w:val="22"/>
        </w:rPr>
        <w:t xml:space="preserve">Geçici scriptler ve build dosyaları işleri bitince temizlenir.</w:t>
      </w:r>
    </w:p>
    <w:p>
      <w:r>
        <w:br w:type="page"/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06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68900" w:val="clear"/>
            <w:tcMar>
              <w:top w:type="dxa" w:w="240"/>
              <w:left w:type="dxa" w:w="200"/>
              <w:bottom w:type="dxa" w:w="240"/>
              <w:right w:type="dxa" w:w="2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56"/>
                <w:szCs w:val="56"/>
              </w:rPr>
              <w:t xml:space="preserve">10</w:t>
            </w:r>
          </w:p>
        </w:tc>
        <w:tc>
          <w:tcPr>
            <w:tcW w:type="dxa" w:w="7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2545" w:val="clear"/>
            <w:tcMar>
              <w:top w:type="dxa" w:w="240"/>
              <w:left w:type="dxa" w:w="360"/>
              <w:bottom w:type="dxa" w:w="240"/>
              <w:right w:type="dxa" w:w="2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B68900"/>
                <w:spacing w:val="60"/>
                <w:sz w:val="16"/>
                <w:szCs w:val="16"/>
              </w:rPr>
              <w:t xml:space="preserve">BÖLÜM</w:t>
            </w:r>
          </w:p>
          <w:p>
            <w:pPr>
              <w:spacing w:after="0" w:before="40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36"/>
                <w:szCs w:val="36"/>
              </w:rPr>
              <w:t xml:space="preserve">Dürüst Akademik Değerlendirme</w:t>
            </w:r>
          </w:p>
        </w:tc>
      </w:tr>
    </w:tbl>
    <w:p>
      <w:pPr>
        <w:pStyle w:val="Heading1"/>
        <w:spacing w:after="200" w:before="0"/>
      </w:pPr>
      <w:r>
        <w:rPr>
          <w:rFonts w:ascii="Cambria" w:cs="Cambria" w:eastAsia="Cambria" w:hAnsi="Cambria"/>
          <w:color w:val="FFFFFF"/>
          <w:sz w:val="4"/>
          <w:szCs w:val="4"/>
        </w:rPr>
        <w:t xml:space="preserve">Dürüst Akademik Değerlendirme</w:t>
      </w:r>
    </w:p>
    <w:p>
      <w:pPr>
        <w:pStyle w:val="Heading2"/>
        <w:pBdr>
          <w:bottom w:val="single" w:color="B68900" w:sz="8" w:space="4"/>
        </w:pBdr>
        <w:spacing w:after="140" w:before="360"/>
      </w:pPr>
      <w:r>
        <w:rPr>
          <w:rFonts w:ascii="Cambria" w:cs="Cambria" w:eastAsia="Cambria" w:hAnsi="Cambria"/>
          <w:b/>
          <w:bCs/>
          <w:color w:val="0B2545"/>
          <w:sz w:val="28"/>
          <w:szCs w:val="28"/>
        </w:rPr>
        <w:t xml:space="preserve">10.1 Proje Güçleri</w:t>
      </w:r>
    </w:p>
    <w:p>
      <w:pPr>
        <w:pStyle w:val="ListParagraph"/>
        <w:numPr>
          <w:ilvl w:val="0"/>
          <w:numId w:val="2"/>
        </w:numPr>
        <w:spacing w:after="50" w:before="50" w:line="300"/>
      </w:pPr>
      <w:r>
        <w:rPr>
          <w:rFonts w:ascii="Calibri" w:cs="Calibri" w:eastAsia="Calibri" w:hAnsi="Calibri"/>
          <w:b/>
          <w:bCs/>
          <w:color w:val="0B2545"/>
          <w:sz w:val="22"/>
          <w:szCs w:val="22"/>
        </w:rPr>
        <w:t xml:space="preserve">Metodoloji kalitesi: </w:t>
      </w:r>
      <w:r>
        <w:rPr>
          <w:rFonts w:ascii="Calibri" w:cs="Calibri" w:eastAsia="Calibri" w:hAnsi="Calibri"/>
          <w:color w:val="1F2330"/>
          <w:sz w:val="22"/>
          <w:szCs w:val="22"/>
        </w:rPr>
        <w:t xml:space="preserve">Lisans düzeyinde olağanüstü hacim (22 deney, 350+ konfigürasyon, 7 mimari).</w:t>
      </w:r>
    </w:p>
    <w:p>
      <w:pPr>
        <w:pStyle w:val="ListParagraph"/>
        <w:numPr>
          <w:ilvl w:val="0"/>
          <w:numId w:val="2"/>
        </w:numPr>
        <w:spacing w:after="50" w:before="50" w:line="300"/>
      </w:pPr>
      <w:r>
        <w:rPr>
          <w:rFonts w:ascii="Calibri" w:cs="Calibri" w:eastAsia="Calibri" w:hAnsi="Calibri"/>
          <w:b/>
          <w:bCs/>
          <w:color w:val="0B2545"/>
          <w:sz w:val="22"/>
          <w:szCs w:val="22"/>
        </w:rPr>
        <w:t xml:space="preserve">Tekrarlanabilirlik: </w:t>
      </w:r>
      <w:r>
        <w:rPr>
          <w:rFonts w:ascii="Calibri" w:cs="Calibri" w:eastAsia="Calibri" w:hAnsi="Calibri"/>
          <w:color w:val="1F2330"/>
          <w:sz w:val="22"/>
          <w:szCs w:val="22"/>
        </w:rPr>
        <w:t xml:space="preserve">Tüm sayılar CSV ground-truth ile %100 doğrulanmış; scriptler açık kaynak.</w:t>
      </w:r>
    </w:p>
    <w:p>
      <w:pPr>
        <w:pStyle w:val="ListParagraph"/>
        <w:numPr>
          <w:ilvl w:val="0"/>
          <w:numId w:val="2"/>
        </w:numPr>
        <w:spacing w:after="50" w:before="50" w:line="300"/>
      </w:pPr>
      <w:r>
        <w:rPr>
          <w:rFonts w:ascii="Calibri" w:cs="Calibri" w:eastAsia="Calibri" w:hAnsi="Calibri"/>
          <w:b/>
          <w:bCs/>
          <w:color w:val="0B2545"/>
          <w:sz w:val="22"/>
          <w:szCs w:val="22"/>
        </w:rPr>
        <w:t xml:space="preserve">Ön çalışma: </w:t>
      </w:r>
      <w:r>
        <w:rPr>
          <w:rFonts w:ascii="Calibri" w:cs="Calibri" w:eastAsia="Calibri" w:hAnsi="Calibri"/>
          <w:color w:val="1F2330"/>
          <w:sz w:val="22"/>
          <w:szCs w:val="22"/>
        </w:rPr>
        <w:t xml:space="preserve">UYIK 2026 bildirisi + Türkçe makale güçlü zemin sağlar.</w:t>
      </w:r>
    </w:p>
    <w:p>
      <w:pPr>
        <w:pStyle w:val="ListParagraph"/>
        <w:numPr>
          <w:ilvl w:val="0"/>
          <w:numId w:val="2"/>
        </w:numPr>
        <w:spacing w:after="50" w:before="50" w:line="300"/>
      </w:pPr>
      <w:r>
        <w:rPr>
          <w:rFonts w:ascii="Calibri" w:cs="Calibri" w:eastAsia="Calibri" w:hAnsi="Calibri"/>
          <w:b/>
          <w:bCs/>
          <w:color w:val="0B2545"/>
          <w:sz w:val="22"/>
          <w:szCs w:val="22"/>
        </w:rPr>
        <w:t xml:space="preserve">Falsification testi: </w:t>
      </w:r>
      <w:r>
        <w:rPr>
          <w:rFonts w:ascii="Calibri" w:cs="Calibri" w:eastAsia="Calibri" w:hAnsi="Calibri"/>
          <w:color w:val="1F2330"/>
          <w:sz w:val="22"/>
          <w:szCs w:val="22"/>
        </w:rPr>
        <w:t xml:space="preserve">Holding sektöründe 0/5 beklenen sonuç — metodolojik dürüstlük.</w:t>
      </w:r>
    </w:p>
    <w:p>
      <w:pPr>
        <w:pStyle w:val="Heading2"/>
        <w:pBdr>
          <w:bottom w:val="single" w:color="B68900" w:sz="8" w:space="4"/>
        </w:pBdr>
        <w:spacing w:after="140" w:before="360"/>
      </w:pPr>
      <w:r>
        <w:rPr>
          <w:rFonts w:ascii="Cambria" w:cs="Cambria" w:eastAsia="Cambria" w:hAnsi="Cambria"/>
          <w:b/>
          <w:bCs/>
          <w:color w:val="0B2545"/>
          <w:sz w:val="28"/>
          <w:szCs w:val="28"/>
        </w:rPr>
        <w:t xml:space="preserve">10.2 Dürüst Çerçeveleme (Overclaim Düzeltmesi)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53"/>
        <w:gridCol w:w="4653"/>
      </w:tblGrid>
      <w:tr>
        <w:trPr>
          <w:tblHeader/>
        </w:trPr>
        <w:tc>
          <w:tcPr>
            <w:tcW w:type="dxa" w:w="4653"/>
            <w:tcBorders>
              <w:top w:val="single" w:color="0B2545" w:sz="12"/>
              <w:left w:val="single" w:color="0B2545" w:sz="4"/>
              <w:bottom w:val="single" w:color="0B2545" w:sz="12"/>
              <w:right w:val="single" w:color="0B2545" w:sz="4"/>
            </w:tcBorders>
            <w:shd w:fill="0B2545" w:val="clear"/>
            <w:tcMar>
              <w:top w:type="dxa" w:w="130"/>
              <w:left w:type="dxa" w:w="160"/>
              <w:bottom w:type="dxa" w:w="13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0"/>
                <w:sz w:val="19"/>
                <w:szCs w:val="19"/>
              </w:rPr>
              <w:t xml:space="preserve">Yanlış (Overclaim)</w:t>
            </w:r>
          </w:p>
        </w:tc>
        <w:tc>
          <w:tcPr>
            <w:tcW w:type="dxa" w:w="4653"/>
            <w:tcBorders>
              <w:top w:val="single" w:color="0B2545" w:sz="12"/>
              <w:left w:val="single" w:color="0B2545" w:sz="4"/>
              <w:bottom w:val="single" w:color="0B2545" w:sz="12"/>
              <w:right w:val="single" w:color="0B2545" w:sz="4"/>
            </w:tcBorders>
            <w:shd w:fill="0B2545" w:val="clear"/>
            <w:tcMar>
              <w:top w:type="dxa" w:w="130"/>
              <w:left w:type="dxa" w:w="160"/>
              <w:bottom w:type="dxa" w:w="13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0"/>
                <w:sz w:val="19"/>
                <w:szCs w:val="19"/>
              </w:rPr>
              <w:t xml:space="preserve">Doğru (Dürüst)</w:t>
            </w:r>
          </w:p>
        </w:tc>
      </w:tr>
      <w:tr>
        <w:tc>
          <w:tcPr>
            <w:tcW w:type="dxa" w:w="4653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"Anti-prediktif davranış keşfettik"</w:t>
            </w:r>
          </w:p>
        </w:tc>
        <w:tc>
          <w:tcPr>
            <w:tcW w:type="dxa" w:w="4653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"Anti-prediktif davranışı gözlemledik ve sistematik olarak karakterize ettik"</w:t>
            </w:r>
          </w:p>
        </w:tc>
      </w:tr>
      <w:tr>
        <w:tc>
          <w:tcPr>
            <w:tcW w:type="dxa" w:w="4653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"Korelasyon kırılması mekanizmasını bulduk"</w:t>
            </w:r>
          </w:p>
        </w:tc>
        <w:tc>
          <w:tcPr>
            <w:tcW w:type="dxa" w:w="4653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"Başarısızlık mekanizmasını korelasyon kırılması olarak ablasyon testleriyle gösterdik"</w:t>
            </w:r>
          </w:p>
        </w:tc>
      </w:tr>
      <w:tr>
        <w:tc>
          <w:tcPr>
            <w:tcW w:type="dxa" w:w="4653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"118/120 sistematik anti-prediktif"</w:t>
            </w:r>
          </w:p>
        </w:tc>
        <w:tc>
          <w:tcPr>
            <w:tcW w:type="dxa" w:w="4653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"118/120 hiperparametre konfigürasyonunda gözlemlendi" (bağımsız değil)</w:t>
            </w:r>
          </w:p>
        </w:tc>
      </w:tr>
      <w:tr>
        <w:tc>
          <w:tcPr>
            <w:tcW w:type="dxa" w:w="4653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"Model sinyal yakalamış ama tersine kullanıyor"</w:t>
            </w:r>
          </w:p>
        </w:tc>
        <w:tc>
          <w:tcPr>
            <w:tcW w:type="dxa" w:w="4653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"Model sistematik olarak yanlış yönde tahmin üretiyor"</w:t>
            </w:r>
          </w:p>
        </w:tc>
      </w:tr>
    </w:tbl>
    <w:p>
      <w:pPr>
        <w:pStyle w:val="Heading2"/>
        <w:pBdr>
          <w:bottom w:val="single" w:color="B68900" w:sz="8" w:space="4"/>
        </w:pBdr>
        <w:spacing w:after="140" w:before="360"/>
      </w:pPr>
      <w:r>
        <w:rPr>
          <w:rFonts w:ascii="Cambria" w:cs="Cambria" w:eastAsia="Cambria" w:hAnsi="Cambria"/>
          <w:b/>
          <w:bCs/>
          <w:color w:val="0B2545"/>
          <w:sz w:val="28"/>
          <w:szCs w:val="28"/>
        </w:rPr>
        <w:t xml:space="preserve">10.3 TÜBİTAK 2209-A Hazırlık Durumu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06"/>
      </w:tblGrid>
      <w:tr>
        <w:trPr>
          <w:tblHeader/>
        </w:trPr>
        <w:tc>
          <w:tcPr>
            <w:tcW w:type="dxa" w:w="4500"/>
            <w:tcBorders>
              <w:top w:val="single" w:color="0B2545" w:sz="12"/>
              <w:left w:val="single" w:color="0B2545" w:sz="4"/>
              <w:bottom w:val="single" w:color="0B2545" w:sz="12"/>
              <w:right w:val="single" w:color="0B2545" w:sz="4"/>
            </w:tcBorders>
            <w:shd w:fill="0B2545" w:val="clear"/>
            <w:tcMar>
              <w:top w:type="dxa" w:w="130"/>
              <w:left w:type="dxa" w:w="160"/>
              <w:bottom w:type="dxa" w:w="13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0"/>
                <w:sz w:val="19"/>
                <w:szCs w:val="19"/>
              </w:rPr>
              <w:t xml:space="preserve">Kriter</w:t>
            </w:r>
          </w:p>
        </w:tc>
        <w:tc>
          <w:tcPr>
            <w:tcW w:type="dxa" w:w="4806"/>
            <w:tcBorders>
              <w:top w:val="single" w:color="0B2545" w:sz="12"/>
              <w:left w:val="single" w:color="0B2545" w:sz="4"/>
              <w:bottom w:val="single" w:color="0B2545" w:sz="12"/>
              <w:right w:val="single" w:color="0B2545" w:sz="4"/>
            </w:tcBorders>
            <w:shd w:fill="0B2545" w:val="clear"/>
            <w:tcMar>
              <w:top w:type="dxa" w:w="130"/>
              <w:left w:type="dxa" w:w="160"/>
              <w:bottom w:type="dxa" w:w="13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0"/>
                <w:sz w:val="19"/>
                <w:szCs w:val="19"/>
              </w:rPr>
              <w:t xml:space="preserve">Değerlendirme</w:t>
            </w:r>
          </w:p>
        </w:tc>
      </w:tr>
      <w:tr>
        <w:tc>
          <w:tcPr>
            <w:tcW w:type="dxa" w:w="45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Metodoloji kalitesi</w:t>
            </w:r>
          </w:p>
        </w:tc>
        <w:tc>
          <w:tcPr>
            <w:tcW w:type="dxa" w:w="4806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10 / 10 — lisans için olağanüstü</w:t>
            </w:r>
          </w:p>
        </w:tc>
      </w:tr>
      <w:tr>
        <w:tc>
          <w:tcPr>
            <w:tcW w:type="dxa" w:w="45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Bulguların yeniliği</w:t>
            </w:r>
          </w:p>
        </w:tc>
        <w:tc>
          <w:tcPr>
            <w:tcW w:type="dxa" w:w="4806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4 / 10 — çoğu bilinen, framing kısmen yeni</w:t>
            </w:r>
          </w:p>
        </w:tc>
      </w:tr>
      <w:tr>
        <w:tc>
          <w:tcPr>
            <w:tcW w:type="dxa" w:w="45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TÜBİTAK geçerliliği</w:t>
            </w:r>
          </w:p>
        </w:tc>
        <w:tc>
          <w:tcPr>
            <w:tcW w:type="dxa" w:w="4806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8 / 10 — dürüst frame ile güçlü</w:t>
            </w:r>
          </w:p>
        </w:tc>
      </w:tr>
      <w:tr>
        <w:tc>
          <w:tcPr>
            <w:tcW w:type="dxa" w:w="45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Overclaim riski</w:t>
            </w:r>
          </w:p>
        </w:tc>
        <w:tc>
          <w:tcPr>
            <w:tcW w:type="dxa" w:w="4806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4 / 10 → düzeltildi</w:t>
            </w:r>
          </w:p>
        </w:tc>
      </w:tr>
      <w:tr>
        <w:tc>
          <w:tcPr>
            <w:tcW w:type="dxa" w:w="45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Reprodüsibilite</w:t>
            </w:r>
          </w:p>
        </w:tc>
        <w:tc>
          <w:tcPr>
            <w:tcW w:type="dxa" w:w="4806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F2330"/>
                <w:sz w:val="20"/>
                <w:szCs w:val="20"/>
              </w:rPr>
              <w:t xml:space="preserve">10 / 10 — tüm scriptler ve CSV’ler depoda</w:t>
            </w:r>
          </w:p>
        </w:tc>
      </w:tr>
      <w:tr>
        <w:tc>
          <w:tcPr>
            <w:tcW w:type="dxa" w:w="450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22"/>
                <w:szCs w:val="22"/>
              </w:rPr>
              <w:t xml:space="preserve">GENEL HAZIRLIK</w:t>
            </w:r>
          </w:p>
        </w:tc>
        <w:tc>
          <w:tcPr>
            <w:tcW w:type="dxa" w:w="4806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F6A3E"/>
                <w:sz w:val="22"/>
                <w:szCs w:val="22"/>
              </w:rPr>
              <w:t xml:space="preserve">%100 — Gönderilmeye Hazır (24 Mayıs 2026 itibarıyla)</w:t>
            </w:r>
          </w:p>
        </w:tc>
      </w:tr>
    </w:tbl>
    <w:p>
      <w:r>
        <w:br w:type="page"/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06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68900" w:val="clear"/>
            <w:tcMar>
              <w:top w:type="dxa" w:w="240"/>
              <w:left w:type="dxa" w:w="200"/>
              <w:bottom w:type="dxa" w:w="240"/>
              <w:right w:type="dxa" w:w="2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56"/>
                <w:szCs w:val="56"/>
              </w:rPr>
              <w:t xml:space="preserve">A</w:t>
            </w:r>
          </w:p>
        </w:tc>
        <w:tc>
          <w:tcPr>
            <w:tcW w:type="dxa" w:w="7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2545" w:val="clear"/>
            <w:tcMar>
              <w:top w:type="dxa" w:w="240"/>
              <w:left w:type="dxa" w:w="360"/>
              <w:bottom w:type="dxa" w:w="240"/>
              <w:right w:type="dxa" w:w="2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B68900"/>
                <w:spacing w:val="60"/>
                <w:sz w:val="16"/>
                <w:szCs w:val="16"/>
              </w:rPr>
              <w:t xml:space="preserve">EK</w:t>
            </w:r>
          </w:p>
          <w:p>
            <w:pPr>
              <w:spacing w:after="0" w:before="40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36"/>
                <w:szCs w:val="36"/>
              </w:rPr>
              <w:t xml:space="preserve">Genişletilmiş Görsel Analizler</w:t>
            </w:r>
          </w:p>
        </w:tc>
      </w:tr>
    </w:tbl>
    <w:p>
      <w:pPr>
        <w:pStyle w:val="Heading1"/>
        <w:spacing w:after="200" w:before="0"/>
      </w:pPr>
      <w:r>
        <w:rPr>
          <w:rFonts w:ascii="Cambria" w:cs="Cambria" w:eastAsia="Cambria" w:hAnsi="Cambria"/>
          <w:color w:val="FFFFFF"/>
          <w:sz w:val="4"/>
          <w:szCs w:val="4"/>
        </w:rPr>
        <w:t xml:space="preserve">Genişletilmiş Görsel Analizler</w:t>
      </w:r>
    </w:p>
    <w:p>
      <w:pPr>
        <w:spacing w:after="80" w:before="80" w:line="320"/>
      </w:pPr>
      <w:r>
        <w:rPr>
          <w:rFonts w:ascii="Calibri" w:cs="Calibri" w:eastAsia="Calibri" w:hAnsi="Calibri"/>
          <w:color w:val="1F2330"/>
          <w:sz w:val="22"/>
          <w:szCs w:val="22"/>
        </w:rPr>
        <w:t xml:space="preserve">Bu ek, ana metinde yer alan 20 grafiğin yanı sıra Sonuclar/summaries/ ve Sonuclar/diagnostics/ klasörlerinden doğrudan üretilmiş 10 ek görseli sunar. Tüm grafikler başlıksızdır (her birinin altyazısı CSV kaynağını ve istatistiksel iddiayı içerir); yayın hazırlığında doğrudan kullanılmak üzere 300 DPI çözünürlükte saklanmıştır.</w:t>
      </w:r>
    </w:p>
    <w:p>
      <w:pPr>
        <w:pStyle w:val="Heading2"/>
        <w:pBdr>
          <w:bottom w:val="single" w:color="B68900" w:sz="8" w:space="4"/>
        </w:pBdr>
        <w:spacing w:after="140" w:before="360"/>
      </w:pPr>
      <w:r>
        <w:rPr>
          <w:rFonts w:ascii="Cambria" w:cs="Cambria" w:eastAsia="Cambria" w:hAnsi="Cambria"/>
          <w:b/>
          <w:bCs/>
          <w:color w:val="0B2545"/>
          <w:sz w:val="28"/>
          <w:szCs w:val="28"/>
        </w:rPr>
        <w:t xml:space="preserve">A.1 Walk-Forward Fold Bazlı Sensitivity–Specificity Dağılımı</w:t>
      </w:r>
    </w:p>
    <w:p>
      <w:pPr>
        <w:spacing w:after="60" w:before="280"/>
        <w:jc w:val="center"/>
      </w:pPr>
      <w:r>
        <w:drawing>
          <wp:inline distT="0" distB="0" distL="0" distR="0">
            <wp:extent cx="4953000" cy="2952750"/>
            <wp:effectExtent t="0" r="0" b="0" l="0"/>
            <wp:docPr id="1" name="21_WalkForward_SensSpec_Scatter.png" descr="Şekil 21. 7 walk-forward fold için Sens vs Spec dağılımı; renk = fold Accuracy. Fold 2 (kriz dönemi) sağ-alt köşeden uzaklaşmış: Sens 0,535 / Spec 0,314 — model bu fold’da Down sınıfını ciddi şekilde ıskalıyor. Kaynak: Sonuclar/summaries/mcaware_pooled_confusion_by_fold.csv" title="Şekil 21. 7 walk-forward fold için Sens vs Spec dağılımı; renk = fold Accuracy. Fold 2 (kriz dönemi) sağ-alt köşeden uzaklaşmış: Sens 0,535 / Spec 0,314 — model bu fold’da Down sınıfını ciddi şekilde ıskalıyor. Kaynak: Sonuclar/summaries/mcaware_pooled_confusion_by_fold.csv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top w:val="single" w:color="B68900" w:sz="6" w:space="4"/>
        </w:pBdr>
        <w:spacing w:after="280" w:before="0"/>
        <w:jc w:val="center"/>
      </w:pPr>
      <w:r>
        <w:rPr>
          <w:rFonts w:ascii="Cambria" w:cs="Cambria" w:eastAsia="Cambria" w:hAnsi="Cambria"/>
          <w:i/>
          <w:iCs/>
          <w:color w:val="5B6273"/>
          <w:sz w:val="18"/>
          <w:szCs w:val="18"/>
        </w:rPr>
        <w:t xml:space="preserve">Şekil 21. 7 walk-forward fold için Sens vs Spec dağılımı; renk = fold Accuracy. Fold 2 (kriz dönemi) sağ-alt köşeden uzaklaşmış: Sens 0,535 / Spec 0,314 — model bu fold’da Down sınıfını ciddi şekilde ıskalıyor. Kaynak: Sonuclar/summaries/mcaware_pooled_confusion_by_fold.csv</w:t>
      </w:r>
    </w:p>
    <w:p>
      <w:pPr>
        <w:pStyle w:val="Heading2"/>
        <w:pBdr>
          <w:bottom w:val="single" w:color="B68900" w:sz="8" w:space="4"/>
        </w:pBdr>
        <w:spacing w:after="140" w:before="360"/>
      </w:pPr>
      <w:r>
        <w:rPr>
          <w:rFonts w:ascii="Cambria" w:cs="Cambria" w:eastAsia="Cambria" w:hAnsi="Cambria"/>
          <w:b/>
          <w:bCs/>
          <w:color w:val="0B2545"/>
          <w:sz w:val="28"/>
          <w:szCs w:val="28"/>
        </w:rPr>
        <w:t xml:space="preserve">A.2 Tek-Değişken Feature Ablasyonu</w:t>
      </w:r>
    </w:p>
    <w:p>
      <w:pPr>
        <w:spacing w:after="60" w:before="280"/>
        <w:jc w:val="center"/>
      </w:pPr>
      <w:r>
        <w:drawing>
          <wp:inline distT="0" distB="0" distL="0" distR="0">
            <wp:extent cx="4953000" cy="2952750"/>
            <wp:effectExtent t="0" r="0" b="0" l="0"/>
            <wp:docPr id="1" name="22_SingleFeat_Ablation.png" descr="Şekil 22. full_13 vs no_Oil_12 vs no_TCMB_12 vs no_USDTRY_12 vs no_ext_10 karşılaştırması (3 seed). Tek değişken çıkarmak (no_Oil, no_TCMB, no_USDTRY) etkiyi gevşetir ancak ortadan kaldırmaz (3/3 flip_wins). Üçü birlikte çıkarıldığında (no_ext_10) anti-prediktif etki tamamen kayboluyor (0/3). Etkinin kombine olduğunun doğrudan kanıtı. Kaynak: Sonuclar/summaries/mcaware_single_feat_ablation_SUMMARY.csv" title="Şekil 22. full_13 vs no_Oil_12 vs no_TCMB_12 vs no_USDTRY_12 vs no_ext_10 karşılaştırması (3 seed). Tek değişken çıkarmak (no_Oil, no_TCMB, no_USDTRY) etkiyi gevşetir ancak ortadan kaldırmaz (3/3 flip_wins). Üçü birlikte çıkarıldığında (no_ext_10) anti-prediktif etki tamamen kayboluyor (0/3). Etkinin kombine olduğunun doğrudan kanıtı. Kaynak: Sonuclar/summaries/mcaware_single_feat_ablation_SUMMARY.csv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top w:val="single" w:color="B68900" w:sz="6" w:space="4"/>
        </w:pBdr>
        <w:spacing w:after="280" w:before="0"/>
        <w:jc w:val="center"/>
      </w:pPr>
      <w:r>
        <w:rPr>
          <w:rFonts w:ascii="Cambria" w:cs="Cambria" w:eastAsia="Cambria" w:hAnsi="Cambria"/>
          <w:i/>
          <w:iCs/>
          <w:color w:val="5B6273"/>
          <w:sz w:val="18"/>
          <w:szCs w:val="18"/>
        </w:rPr>
        <w:t xml:space="preserve">Şekil 22. full_13 vs no_Oil_12 vs no_TCMB_12 vs no_USDTRY_12 vs no_ext_10 karşılaştırması (3 seed). Tek değişken çıkarmak (no_Oil, no_TCMB, no_USDTRY) etkiyi gevşetir ancak ortadan kaldırmaz (3/3 flip_wins). Üçü birlikte çıkarıldığında (no_ext_10) anti-prediktif etki tamamen kayboluyor (0/3). Etkinin kombine olduğunun doğrudan kanıtı. Kaynak: Sonuclar/summaries/mcaware_single_feat_ablation_SUMMARY.csv</w:t>
      </w:r>
    </w:p>
    <w:p>
      <w:pPr>
        <w:pStyle w:val="Heading2"/>
        <w:pBdr>
          <w:bottom w:val="single" w:color="B68900" w:sz="8" w:space="4"/>
        </w:pBdr>
        <w:spacing w:after="140" w:before="360"/>
      </w:pPr>
      <w:r>
        <w:rPr>
          <w:rFonts w:ascii="Cambria" w:cs="Cambria" w:eastAsia="Cambria" w:hAnsi="Cambria"/>
          <w:b/>
          <w:bCs/>
          <w:color w:val="0B2545"/>
          <w:sz w:val="28"/>
          <w:szCs w:val="28"/>
        </w:rPr>
        <w:t xml:space="preserve">A.3 λ Hassasiyeti — 5 BiLSTM Varyantı</w:t>
      </w:r>
    </w:p>
    <w:p>
      <w:pPr>
        <w:spacing w:after="60" w:before="280"/>
        <w:jc w:val="center"/>
      </w:pPr>
      <w:r>
        <w:drawing>
          <wp:inline distT="0" distB="0" distL="0" distR="0">
            <wp:extent cx="6096000" cy="2667000"/>
            <wp:effectExtent t="0" r="0" b="0" l="0"/>
            <wp:docPr id="1" name="23_Lambda_Acc_FlipAcc.png" descr="Şekil 23. λ ∈ {0,00; 0,05; 0,10} için 5 BiLSTM varyantının Acc ve Flip Acc değerlerinin değişimi. Tüm varyantlarda λ’nın etkisi ihmal edilebilir düzeydedir — λ, CW=balanced varlığında işlevsel olarak redundant. Kaynak: Sonuclar/summaries/mcaware_BiLSTM_v3{THYAO,b_window,b_GARAN,c_no_cw}_SUMMARY.csv + mcaware_BiLSTM_attn_v6_SUMMARY.csv" title="Şekil 23. λ ∈ {0,00; 0,05; 0,10} için 5 BiLSTM varyantının Acc ve Flip Acc değerlerinin değişimi. Tüm varyantlarda λ’nın etkisi ihmal edilebilir düzeydedir — λ, CW=balanced varlığında işlevsel olarak redundant. Kaynak: Sonuclar/summaries/mcaware_BiLSTM_v3{THYAO,b_window,b_GARAN,c_no_cw}_SUMMARY.csv + mcaware_BiLSTM_attn_v6_SUMMARY.csv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top w:val="single" w:color="B68900" w:sz="6" w:space="4"/>
        </w:pBdr>
        <w:spacing w:after="280" w:before="0"/>
        <w:jc w:val="center"/>
      </w:pPr>
      <w:r>
        <w:rPr>
          <w:rFonts w:ascii="Cambria" w:cs="Cambria" w:eastAsia="Cambria" w:hAnsi="Cambria"/>
          <w:i/>
          <w:iCs/>
          <w:color w:val="5B6273"/>
          <w:sz w:val="18"/>
          <w:szCs w:val="18"/>
        </w:rPr>
        <w:t xml:space="preserve">Şekil 23. λ ∈ {0,00; 0,05; 0,10} için 5 BiLSTM varyantının Acc ve Flip Acc değerlerinin değişimi. Tüm varyantlarda λ’nın etkisi ihmal edilebilir düzeydedir — λ, CW=balanced varlığında işlevsel olarak redundant. Kaynak: Sonuclar/summaries/mcaware_BiLSTM_v3{THYAO,b_window,b_GARAN,c_no_cw}_SUMMARY.csv + mcaware_BiLSTM_attn_v6_SUMMARY.csv</w:t>
      </w:r>
    </w:p>
    <w:p>
      <w:pPr>
        <w:pStyle w:val="Heading2"/>
        <w:pBdr>
          <w:bottom w:val="single" w:color="B68900" w:sz="8" w:space="4"/>
        </w:pBdr>
        <w:spacing w:after="140" w:before="360"/>
      </w:pPr>
      <w:r>
        <w:rPr>
          <w:rFonts w:ascii="Cambria" w:cs="Cambria" w:eastAsia="Cambria" w:hAnsi="Cambria"/>
          <w:b/>
          <w:bCs/>
          <w:color w:val="0B2545"/>
          <w:sz w:val="28"/>
          <w:szCs w:val="28"/>
        </w:rPr>
        <w:t xml:space="preserve">A.4 Sigorta vs Holding — Hisse Bazında strict_anti_pred</w:t>
      </w:r>
    </w:p>
    <w:p>
      <w:pPr>
        <w:spacing w:after="60" w:before="280"/>
        <w:jc w:val="center"/>
      </w:pPr>
      <w:r>
        <w:drawing>
          <wp:inline distT="0" distB="0" distL="0" distR="0">
            <wp:extent cx="4953000" cy="2952750"/>
            <wp:effectExtent t="0" r="0" b="0" l="0"/>
            <wp:docPr id="1" name="24_Sigorta_vs_Holding_PerStock.png" descr="Şekil 24. Hisse bazlı sıkı anti-prediktif konfigürasyon sayıları (5 seed üzerinden). Sigortada AKGRT 4/5 ve ANSGR 5/5; holdingte tek bir hisse dahi sıkı kriteri sağlamıyor (0/5). Fisher exact iki yanlı p yaklaşık 0,44 — ön kanıt seviyesinde, ispat değil. Kaynak: mcaware_bist5_sigorta_v2_SUMMARY.csv + mcaware_bist5_holding_STRICT.csv" title="Şekil 24. Hisse bazlı sıkı anti-prediktif konfigürasyon sayıları (5 seed üzerinden). Sigortada AKGRT 4/5 ve ANSGR 5/5; holdingte tek bir hisse dahi sıkı kriteri sağlamıyor (0/5). Fisher exact iki yanlı p yaklaşık 0,44 — ön kanıt seviyesinde, ispat değil. Kaynak: mcaware_bist5_sigorta_v2_SUMMARY.csv + mcaware_bist5_holding_STRICT.csv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top w:val="single" w:color="B68900" w:sz="6" w:space="4"/>
        </w:pBdr>
        <w:spacing w:after="280" w:before="0"/>
        <w:jc w:val="center"/>
      </w:pPr>
      <w:r>
        <w:rPr>
          <w:rFonts w:ascii="Cambria" w:cs="Cambria" w:eastAsia="Cambria" w:hAnsi="Cambria"/>
          <w:i/>
          <w:iCs/>
          <w:color w:val="5B6273"/>
          <w:sz w:val="18"/>
          <w:szCs w:val="18"/>
        </w:rPr>
        <w:t xml:space="preserve">Şekil 24. Hisse bazlı sıkı anti-prediktif konfigürasyon sayıları (5 seed üzerinden). Sigortada AKGRT 4/5 ve ANSGR 5/5; holdingte tek bir hisse dahi sıkı kriteri sağlamıyor (0/5). Fisher exact iki yanlı p yaklaşık 0,44 — ön kanıt seviyesinde, ispat değil. Kaynak: mcaware_bist5_sigorta_v2_SUMMARY.csv + mcaware_bist5_holding_STRICT.csv</w:t>
      </w:r>
    </w:p>
    <w:p>
      <w:pPr>
        <w:pStyle w:val="Heading2"/>
        <w:pBdr>
          <w:bottom w:val="single" w:color="B68900" w:sz="8" w:space="4"/>
        </w:pBdr>
        <w:spacing w:after="140" w:before="360"/>
      </w:pPr>
      <w:r>
        <w:rPr>
          <w:rFonts w:ascii="Cambria" w:cs="Cambria" w:eastAsia="Cambria" w:hAnsi="Cambria"/>
          <w:b/>
          <w:bCs/>
          <w:color w:val="0B2545"/>
          <w:sz w:val="28"/>
          <w:szCs w:val="28"/>
        </w:rPr>
        <w:t xml:space="preserve">A.5 Mimari İkilileri — McNemar p-Değer Matrisi</w:t>
      </w:r>
    </w:p>
    <w:p>
      <w:pPr>
        <w:spacing w:after="60" w:before="280"/>
        <w:jc w:val="center"/>
      </w:pPr>
      <w:r>
        <w:drawing>
          <wp:inline distT="0" distB="0" distL="0" distR="0">
            <wp:extent cx="4953000" cy="2952750"/>
            <wp:effectExtent t="0" r="0" b="0" l="0"/>
            <wp:docPr id="1" name="25_McNemar_Matrix.png" descr="Şekil 25. Tüm mimari çiftleri için McNemar chi-kare testi p-değerleri (renk = -log10 p). 15 çiftten 6 tanesi p &lt; 0,05 (SimpleRNN-GRU, SimpleRNN-TCN, SimpleRNN-BiLSTM, GRU-Transformer, TCN-Transformer, Conv1D-Transformer, Transformer-BiLSTM). Yorum: Mimariler arasında derece farkı vardır; ancak hepsi aynı yönde (anti-prediktif) ortak hata yapmaktadır. Kaynak: Sonuclar/diagnostics/mcaware_multi_arch_McNEMAR.csv" title="Şekil 25. Tüm mimari çiftleri için McNemar chi-kare testi p-değerleri (renk = -log10 p). 15 çiftten 6 tanesi p &lt; 0,05 (SimpleRNN-GRU, SimpleRNN-TCN, SimpleRNN-BiLSTM, GRU-Transformer, TCN-Transformer, Conv1D-Transformer, Transformer-BiLSTM). Yorum: Mimariler arasında derece farkı vardır; ancak hepsi aynı yönde (anti-prediktif) ortak hata yapmaktadır. Kaynak: Sonuclar/diagnostics/mcaware_multi_arch_McNEMAR.csv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top w:val="single" w:color="B68900" w:sz="6" w:space="4"/>
        </w:pBdr>
        <w:spacing w:after="280" w:before="0"/>
        <w:jc w:val="center"/>
      </w:pPr>
      <w:r>
        <w:rPr>
          <w:rFonts w:ascii="Cambria" w:cs="Cambria" w:eastAsia="Cambria" w:hAnsi="Cambria"/>
          <w:i/>
          <w:iCs/>
          <w:color w:val="5B6273"/>
          <w:sz w:val="18"/>
          <w:szCs w:val="18"/>
        </w:rPr>
        <w:t xml:space="preserve">Şekil 25. Tüm mimari çiftleri için McNemar chi-kare testi p-değerleri (renk = -log10 p). 15 çiftten 6 tanesi p &lt; 0,05 (SimpleRNN-GRU, SimpleRNN-TCN, SimpleRNN-BiLSTM, GRU-Transformer, TCN-Transformer, Conv1D-Transformer, Transformer-BiLSTM). Yorum: Mimariler arasında derece farkı vardır; ancak hepsi aynı yönde (anti-prediktif) ortak hata yapmaktadır. Kaynak: Sonuclar/diagnostics/mcaware_multi_arch_McNEMAR.csv</w:t>
      </w:r>
    </w:p>
    <w:p>
      <w:pPr>
        <w:pStyle w:val="Heading2"/>
        <w:pBdr>
          <w:bottom w:val="single" w:color="B68900" w:sz="8" w:space="4"/>
        </w:pBdr>
        <w:spacing w:after="140" w:before="360"/>
      </w:pPr>
      <w:r>
        <w:rPr>
          <w:rFonts w:ascii="Cambria" w:cs="Cambria" w:eastAsia="Cambria" w:hAnsi="Cambria"/>
          <w:b/>
          <w:bCs/>
          <w:color w:val="0B2545"/>
          <w:sz w:val="28"/>
          <w:szCs w:val="28"/>
        </w:rPr>
        <w:t xml:space="preserve">A.6 BES Fon Karşılaştırması</w:t>
      </w:r>
    </w:p>
    <w:p>
      <w:pPr>
        <w:spacing w:after="60" w:before="280"/>
        <w:jc w:val="center"/>
      </w:pPr>
      <w:r>
        <w:drawing>
          <wp:inline distT="0" distB="0" distL="0" distR="0">
            <wp:extent cx="4953000" cy="2952750"/>
            <wp:effectExtent t="0" r="0" b="0" l="0"/>
            <wp:docPr id="1" name="26_BES_Fund_AccComparison.png" descr="Şekil 26. ALZ / AZS / AMZ üç BES fonu için Naive, Mean Acc ve Mean Flip Acc. ALZ dejenerate (Naive = 1,0; tüm konfigürasyonda MC = 15/15); AZS ve AMZ Naive altında kalıyor ancak flip_wins = 0/15 (anti-prediktif etki yok). Bulgu THYAO günlük verisine özgüdür; BES haftalık verisine transfer olmamaktadır. Kaynak: Sonuclar/summaries/mcaware_BiLSTM_v3b_BES_CROSS_FUND_SUMMARY.csv" title="Şekil 26. ALZ / AZS / AMZ üç BES fonu için Naive, Mean Acc ve Mean Flip Acc. ALZ dejenerate (Naive = 1,0; tüm konfigürasyonda MC = 15/15); AZS ve AMZ Naive altında kalıyor ancak flip_wins = 0/15 (anti-prediktif etki yok). Bulgu THYAO günlük verisine özgüdür; BES haftalık verisine transfer olmamaktadır. Kaynak: Sonuclar/summaries/mcaware_BiLSTM_v3b_BES_CROSS_FUND_SUMMARY.csv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top w:val="single" w:color="B68900" w:sz="6" w:space="4"/>
        </w:pBdr>
        <w:spacing w:after="280" w:before="0"/>
        <w:jc w:val="center"/>
      </w:pPr>
      <w:r>
        <w:rPr>
          <w:rFonts w:ascii="Cambria" w:cs="Cambria" w:eastAsia="Cambria" w:hAnsi="Cambria"/>
          <w:i/>
          <w:iCs/>
          <w:color w:val="5B6273"/>
          <w:sz w:val="18"/>
          <w:szCs w:val="18"/>
        </w:rPr>
        <w:t xml:space="preserve">Şekil 26. ALZ / AZS / AMZ üç BES fonu için Naive, Mean Acc ve Mean Flip Acc. ALZ dejenerate (Naive = 1,0; tüm konfigürasyonda MC = 15/15); AZS ve AMZ Naive altında kalıyor ancak flip_wins = 0/15 (anti-prediktif etki yok). Bulgu THYAO günlük verisine özgüdür; BES haftalık verisine transfer olmamaktadır. Kaynak: Sonuclar/summaries/mcaware_BiLSTM_v3b_BES_CROSS_FUND_SUMMARY.csv</w:t>
      </w:r>
    </w:p>
    <w:p>
      <w:pPr>
        <w:pStyle w:val="Heading2"/>
        <w:pBdr>
          <w:bottom w:val="single" w:color="B68900" w:sz="8" w:space="4"/>
        </w:pBdr>
        <w:spacing w:after="140" w:before="360"/>
      </w:pPr>
      <w:r>
        <w:rPr>
          <w:rFonts w:ascii="Cambria" w:cs="Cambria" w:eastAsia="Cambria" w:hAnsi="Cambria"/>
          <w:b/>
          <w:bCs/>
          <w:color w:val="0B2545"/>
          <w:sz w:val="28"/>
          <w:szCs w:val="28"/>
        </w:rPr>
        <w:t xml:space="preserve">A.7 Teknik Göstergeler — Accuracy ve Up Sinyal Oranı</w:t>
      </w:r>
    </w:p>
    <w:p>
      <w:pPr>
        <w:spacing w:after="60" w:before="280"/>
        <w:jc w:val="center"/>
      </w:pPr>
      <w:r>
        <w:drawing>
          <wp:inline distT="0" distB="0" distL="0" distR="0">
            <wp:extent cx="4953000" cy="2952750"/>
            <wp:effectExtent t="0" r="0" b="0" l="0"/>
            <wp:docPr id="1" name="27_TechIndicators_AccUpRatio.png" descr="Şekil 27. 11 teknik göstergenin Accuracy değerleri (yatay bar, yeşil = beats_naive) ve Up sinyal oranları (altın elmas). 10/11 gösterge Naive üzeri; SMA_Cross (0,87) dikkat çekici (tek pencere; genelleme için ayrı doğrulama gerekir). ROC tek istisna (Up oranı 1,000 yani tek yönlü; geçemiyor). Kaynak: Sonuclar/summaries/mcaware_majority_rules_10ind_SUMMARY.csv" title="Şekil 27. 11 teknik göstergenin Accuracy değerleri (yatay bar, yeşil = beats_naive) ve Up sinyal oranları (altın elmas). 10/11 gösterge Naive üzeri; SMA_Cross (0,87) dikkat çekici (tek pencere; genelleme için ayrı doğrulama gerekir). ROC tek istisna (Up oranı 1,000 yani tek yönlü; geçemiyor). Kaynak: Sonuclar/summaries/mcaware_majority_rules_10ind_SUMMARY.csv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top w:val="single" w:color="B68900" w:sz="6" w:space="4"/>
        </w:pBdr>
        <w:spacing w:after="280" w:before="0"/>
        <w:jc w:val="center"/>
      </w:pPr>
      <w:r>
        <w:rPr>
          <w:rFonts w:ascii="Cambria" w:cs="Cambria" w:eastAsia="Cambria" w:hAnsi="Cambria"/>
          <w:i/>
          <w:iCs/>
          <w:color w:val="5B6273"/>
          <w:sz w:val="18"/>
          <w:szCs w:val="18"/>
        </w:rPr>
        <w:t xml:space="preserve">Şekil 27. 11 teknik göstergenin Accuracy değerleri (yatay bar, yeşil = beats_naive) ve Up sinyal oranları (altın elmas). 10/11 gösterge Naive üzeri; SMA_Cross (0,87) dikkat çekici (tek pencere; genelleme için ayrı doğrulama gerekir). ROC tek istisna (Up oranı 1,000 yani tek yönlü; geçemiyor). Kaynak: Sonuclar/summaries/mcaware_majority_rules_10ind_SUMMARY.csv</w:t>
      </w:r>
    </w:p>
    <w:p>
      <w:pPr>
        <w:pStyle w:val="Heading2"/>
        <w:pBdr>
          <w:bottom w:val="single" w:color="B68900" w:sz="8" w:space="4"/>
        </w:pBdr>
        <w:spacing w:after="140" w:before="360"/>
      </w:pPr>
      <w:r>
        <w:rPr>
          <w:rFonts w:ascii="Cambria" w:cs="Cambria" w:eastAsia="Cambria" w:hAnsi="Cambria"/>
          <w:b/>
          <w:bCs/>
          <w:color w:val="0B2545"/>
          <w:sz w:val="28"/>
          <w:szCs w:val="28"/>
        </w:rPr>
        <w:t xml:space="preserve">A.8 NASDAQ AAPL vs BIST THYAO — Feature Grubu Karşılaştırması</w:t>
      </w:r>
    </w:p>
    <w:p>
      <w:pPr>
        <w:spacing w:after="60" w:before="280"/>
        <w:jc w:val="center"/>
      </w:pPr>
      <w:r>
        <w:drawing>
          <wp:inline distT="0" distB="0" distL="0" distR="0">
            <wp:extent cx="6096000" cy="2762250"/>
            <wp:effectExtent t="0" r="0" b="0" l="0"/>
            <wp:docPr id="1" name="28_AAPL_vs_THYAO_GroupCompare.png" descr="Şekil 28. THYAO (sol) ve AAPL (sağ) için full_13 vs no_ext_10 ablasyonu. THYAO full_13 te flip_wins = 1/1; AAPL hiçbir grupta flip &gt; Naive üretmiyor (0/3 her iki grupta). Anti-prediktif rejim gelişmiş piyasaya transfer olmuyor; gelişmekte olan piyasaya özgülük argümanını destekler. Kaynak: Sonuclar/summaries/mcaware_nasdaq_SUMMARY.csv" title="Şekil 28. THYAO (sol) ve AAPL (sağ) için full_13 vs no_ext_10 ablasyonu. THYAO full_13 te flip_wins = 1/1; AAPL hiçbir grupta flip &gt; Naive üretmiyor (0/3 her iki grupta). Anti-prediktif rejim gelişmiş piyasaya transfer olmuyor; gelişmekte olan piyasaya özgülük argümanını destekler. Kaynak: Sonuclar/summaries/mcaware_nasdaq_SUMMARY.csv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top w:val="single" w:color="B68900" w:sz="6" w:space="4"/>
        </w:pBdr>
        <w:spacing w:after="280" w:before="0"/>
        <w:jc w:val="center"/>
      </w:pPr>
      <w:r>
        <w:rPr>
          <w:rFonts w:ascii="Cambria" w:cs="Cambria" w:eastAsia="Cambria" w:hAnsi="Cambria"/>
          <w:i/>
          <w:iCs/>
          <w:color w:val="5B6273"/>
          <w:sz w:val="18"/>
          <w:szCs w:val="18"/>
        </w:rPr>
        <w:t xml:space="preserve">Şekil 28. THYAO (sol) ve AAPL (sağ) için full_13 vs no_ext_10 ablasyonu. THYAO full_13 te flip_wins = 1/1; AAPL hiçbir grupta flip &gt; Naive üretmiyor (0/3 her iki grupta). Anti-prediktif rejim gelişmiş piyasaya transfer olmuyor; gelişmekte olan piyasaya özgülük argümanını destekler. Kaynak: Sonuclar/summaries/mcaware_nasdaq_SUMMARY.csv</w:t>
      </w:r>
    </w:p>
    <w:p>
      <w:pPr>
        <w:pStyle w:val="Heading2"/>
        <w:pBdr>
          <w:bottom w:val="single" w:color="B68900" w:sz="8" w:space="4"/>
        </w:pBdr>
        <w:spacing w:after="140" w:before="360"/>
      </w:pPr>
      <w:r>
        <w:rPr>
          <w:rFonts w:ascii="Cambria" w:cs="Cambria" w:eastAsia="Cambria" w:hAnsi="Cambria"/>
          <w:b/>
          <w:bCs/>
          <w:color w:val="0B2545"/>
          <w:sz w:val="28"/>
          <w:szCs w:val="28"/>
        </w:rPr>
        <w:t xml:space="preserve">A.9 Hisse Bazlı Sınıf Dengesizliği (Naive Baseline Haritası)</w:t>
      </w:r>
    </w:p>
    <w:p>
      <w:pPr>
        <w:spacing w:after="60" w:before="280"/>
        <w:jc w:val="center"/>
      </w:pPr>
      <w:r>
        <w:drawing>
          <wp:inline distT="0" distB="0" distL="0" distR="0">
            <wp:extent cx="4953000" cy="2952750"/>
            <wp:effectExtent t="0" r="0" b="0" l="0"/>
            <wp:docPr id="1" name="29_PerStock_NaiveBaseline.png" descr="Şekil 29. 13 BIST hissesinin Naive Accuracy değerleri sektör bazında renklendirilmiş. Naive 0,44-0,55 aralığında dağılmaktadır; BIST hisselerinde sınıf dengesizliği MC tuzağını tetiklemeye yetecek kadar belirgin değildir. Bu, raporlanan mc_count = 0 sonuçlarıyla tutarlıdır. Kaynak: bist5_sigorta_v2 + bist5_holding + bist_multi_stock SUMMARY CSV dosyaları" title="Şekil 29. 13 BIST hissesinin Naive Accuracy değerleri sektör bazında renklendirilmiş. Naive 0,44-0,55 aralığında dağılmaktadır; BIST hisselerinde sınıf dengesizliği MC tuzağını tetiklemeye yetecek kadar belirgin değildir. Bu, raporlanan mc_count = 0 sonuçlarıyla tutarlıdır. Kaynak: bist5_sigorta_v2 + bist5_holding + bist_multi_stock SUMMARY CSV dosyalar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top w:val="single" w:color="B68900" w:sz="6" w:space="4"/>
        </w:pBdr>
        <w:spacing w:after="280" w:before="0"/>
        <w:jc w:val="center"/>
      </w:pPr>
      <w:r>
        <w:rPr>
          <w:rFonts w:ascii="Cambria" w:cs="Cambria" w:eastAsia="Cambria" w:hAnsi="Cambria"/>
          <w:i/>
          <w:iCs/>
          <w:color w:val="5B6273"/>
          <w:sz w:val="18"/>
          <w:szCs w:val="18"/>
        </w:rPr>
        <w:t xml:space="preserve">Şekil 29. 13 BIST hissesinin Naive Accuracy değerleri sektör bazında renklendirilmiş. Naive 0,44-0,55 aralığında dağılmaktadır; BIST hisselerinde sınıf dengesizliği MC tuzağını tetiklemeye yetecek kadar belirgin değildir. Bu, raporlanan mc_count = 0 sonuçlarıyla tutarlıdır. Kaynak: bist5_sigorta_v2 + bist5_holding + bist_multi_stock SUMMARY CSV dosyaları</w:t>
      </w:r>
    </w:p>
    <w:p>
      <w:pPr>
        <w:pStyle w:val="Heading2"/>
        <w:pBdr>
          <w:bottom w:val="single" w:color="B68900" w:sz="8" w:space="4"/>
        </w:pBdr>
        <w:spacing w:after="140" w:before="360"/>
      </w:pPr>
      <w:r>
        <w:rPr>
          <w:rFonts w:ascii="Cambria" w:cs="Cambria" w:eastAsia="Cambria" w:hAnsi="Cambria"/>
          <w:b/>
          <w:bCs/>
          <w:color w:val="0B2545"/>
          <w:sz w:val="28"/>
          <w:szCs w:val="28"/>
        </w:rPr>
        <w:t xml:space="preserve">A.10 Walk-Forward x 6 Mimari — Fold Bazlı Anti-Pred Sayımı</w:t>
      </w:r>
    </w:p>
    <w:p>
      <w:pPr>
        <w:spacing w:after="60" w:before="280"/>
        <w:jc w:val="center"/>
      </w:pPr>
      <w:r>
        <w:drawing>
          <wp:inline distT="0" distB="0" distL="0" distR="0">
            <wp:extent cx="4953000" cy="2952750"/>
            <wp:effectExtent t="0" r="0" b="0" l="0"/>
            <wp:docPr id="1" name="30_WalkForward_FoldByFold.png" descr="Şekil 30. Her fold için flip &gt; naive ve strict anti-pred sayan mimari sayısı (6 üzerinden); ikincil eksende fold Naive değeri (altın). Fold 2 (Ağustos 2018 kur krizi) 6/6 flip &gt; naive ve 5/6 sıkı anti-pred ile tek-split sonuçlarının ana kaynağıdır. Diğer foldlarda etki seyrek (0-2/6). Anti-prediktif rejim dönemsel ve rejim-bağımlıdır; evrensel değildir. Kaynak: Sonuclar/summaries/mcaware_walkforward_multi_arch_FOLD_SUMMARY.csv" title="Şekil 30. Her fold için flip &gt; naive ve strict anti-pred sayan mimari sayısı (6 üzerinden); ikincil eksende fold Naive değeri (altın). Fold 2 (Ağustos 2018 kur krizi) 6/6 flip &gt; naive ve 5/6 sıkı anti-pred ile tek-split sonuçlarının ana kaynağıdır. Diğer foldlarda etki seyrek (0-2/6). Anti-prediktif rejim dönemsel ve rejim-bağımlıdır; evrensel değildir. Kaynak: Sonuclar/summaries/mcaware_walkforward_multi_arch_FOLD_SUMMARY.csv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top w:val="single" w:color="B68900" w:sz="6" w:space="4"/>
        </w:pBdr>
        <w:spacing w:after="280" w:before="0"/>
        <w:jc w:val="center"/>
      </w:pPr>
      <w:r>
        <w:rPr>
          <w:rFonts w:ascii="Cambria" w:cs="Cambria" w:eastAsia="Cambria" w:hAnsi="Cambria"/>
          <w:i/>
          <w:iCs/>
          <w:color w:val="5B6273"/>
          <w:sz w:val="18"/>
          <w:szCs w:val="18"/>
        </w:rPr>
        <w:t xml:space="preserve">Şekil 30. Her fold için flip &gt; naive ve strict anti-pred sayan mimari sayısı (6 üzerinden); ikincil eksende fold Naive değeri (altın). Fold 2 (Ağustos 2018 kur krizi) 6/6 flip &gt; naive ve 5/6 sıkı anti-pred ile tek-split sonuçlarının ana kaynağıdır. Diğer foldlarda etki seyrek (0-2/6). Anti-prediktif rejim dönemsel ve rejim-bağımlıdır; evrensel değildir. Kaynak: Sonuclar/summaries/mcaware_walkforward_multi_arch_FOLD_SUMMARY.csv</w:t>
      </w:r>
    </w:p>
    <w:p>
      <w:r>
        <w:br w:type="page"/>
      </w:r>
    </w:p>
    <w:p>
      <w:pPr>
        <w:spacing w:after="80" w:before="80" w:line="320"/>
      </w:pPr>
      <w:r>
        <w:rPr>
          <w:rFonts w:ascii="Calibri" w:cs="Calibri" w:eastAsia="Calibri" w:hAnsi="Calibri"/>
          <w:color w:val="1F2330"/>
          <w:sz w:val="22"/>
          <w:szCs w:val="22"/>
        </w:rPr>
        <w:t xml:space="preserve"> 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6"/>
      </w:tblGrid>
      <w:tr>
        <w:tc>
          <w:tcPr>
            <w:tcW w:type="dxa" w:w="9306"/>
            <w:tcBorders>
              <w:top w:val="single" w:color="EAF3EC" w:sz="4"/>
              <w:left w:val="single" w:color="2F6A3E" w:sz="36"/>
              <w:bottom w:val="single" w:color="EAF3EC" w:sz="4"/>
              <w:right w:val="single" w:color="EAF3EC" w:sz="4"/>
            </w:tcBorders>
            <w:shd w:fill="EAF3EC" w:val="clear"/>
            <w:tcMar>
              <w:top w:type="dxa" w:w="220"/>
              <w:left w:type="dxa" w:w="280"/>
              <w:bottom w:type="dxa" w:w="22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Cambria" w:cs="Cambria" w:eastAsia="Cambria" w:hAnsi="Cambria"/>
                <w:b/>
                <w:bCs/>
                <w:color w:val="2F6A3E"/>
                <w:sz w:val="22"/>
                <w:szCs w:val="22"/>
              </w:rPr>
              <w:t xml:space="preserve">OK  Kapanış Notu</w:t>
            </w:r>
          </w:p>
          <w:p>
            <w:pPr>
              <w:spacing w:after="80" w:before="80" w:line="320"/>
            </w:pPr>
            <w:r>
              <w:rPr>
                <w:rFonts w:ascii="Calibri" w:cs="Calibri" w:eastAsia="Calibri" w:hAnsi="Calibri"/>
                <w:color w:val="1F2330"/>
                <w:sz w:val="22"/>
                <w:szCs w:val="22"/>
              </w:rPr>
              <w:t xml:space="preserve">Proje tamamlanmıştır. KARAR-10 kapatıldı (Y2 + Y4/Y5 birleşik tezi seçildi). Dashboard GitHub Pages üzerinde canlı yayındadır; tüm bilinen hatalar (B1-B18, E1-E6) giderilmiş, Gorseller/ klasörüne 10 ek görsel eklenmiştir (toplam 30). Sıradaki adımlar ADIM L (Haziran-Temmuz 2026 ek ablasyonlar), ADIM M (Word taslak) ve ADIM N (başvuru). Bu rapor, CSV ground-truth dosyalarına birebir uyumlu hale getirilmiştir; istenen herhangi bir sayı projedeki Sonuclar/summaries/ veya Sonuclar/diagnostics/ klasöründen doğrulanabilir.</w:t>
            </w:r>
          </w:p>
        </w:tc>
      </w:tr>
    </w:tbl>
    <w:p>
      <w:pPr>
        <w:spacing w:after="80" w:before="80" w:line="320"/>
      </w:pPr>
      <w:r>
        <w:rPr>
          <w:rFonts w:ascii="Calibri" w:cs="Calibri" w:eastAsia="Calibri" w:hAnsi="Calibri"/>
          <w:color w:val="1F2330"/>
          <w:sz w:val="22"/>
          <w:szCs w:val="22"/>
        </w:rPr>
        <w:t xml:space="preserve"> </w:t>
      </w:r>
    </w:p>
    <w:p>
      <w:pPr>
        <w:spacing w:after="80" w:before="80" w:line="320"/>
        <w:jc w:val="center"/>
      </w:pPr>
      <w:r>
        <w:rPr>
          <w:rFonts w:ascii="Calibri" w:cs="Calibri" w:eastAsia="Calibri" w:hAnsi="Calibri"/>
          <w:i/>
          <w:iCs/>
          <w:color w:val="5B6273"/>
          <w:sz w:val="22"/>
          <w:szCs w:val="22"/>
        </w:rPr>
        <w:t xml:space="preserve">Belge versiyonu: v7 NIHAI - 25 Mayis 2026 - CSV-Sync OK - A4 - Kapak + Icindekiler + 10 bolum + Ek-A (30 gorsel)</w:t>
      </w:r>
    </w:p>
    <w:p>
      <w:r>
        <w:br w:type="page"/>
      </w:r>
    </w:p>
    <w:p>
      <w:pPr>
        <w:pStyle w:val="Heading1"/>
      </w:pPr>
      <w:r>
        <w:rPr>
          <w:b/>
          <w:color w:val="1E293B"/>
          <w:sz w:val="36"/>
        </w:rPr>
        <w:t>Ek Gorseller ve Analizler</w:t>
      </w:r>
    </w:p>
    <w:p>
      <w:r>
        <w:rPr>
          <w:i/>
          <w:color w:val="64748B"/>
          <w:sz w:val="20"/>
        </w:rPr>
        <w:t>Ekleme Tarihi: 26 May 2026, 01:19</w:t>
      </w:r>
    </w:p>
    <w:p/>
    <w:p>
      <w:pPr>
        <w:pStyle w:val="Heading2"/>
      </w:pPr>
      <w:r>
        <w:rPr>
          <w:b/>
          <w:sz w:val="28"/>
        </w:rPr>
        <w:t>Proje Ozet Infografigi</w:t>
      </w:r>
    </w:p>
    <w:p>
      <w:r>
        <w:rPr>
          <w:sz w:val="20"/>
        </w:rPr>
        <w:t>Bu gorsel, MC-AWARE projesinin 26 deneyinin (22 ana + 4 faz-2) tum ana bulgularini tek bir sayfada ozetlemektedir. Her kart, bir deney kategorisini (MC Tuzagi Cozumu, Anti-Prediktif Davranis, Mimari Bagimsizlik, Walk-Forward Dogrulama, Klasik ML Negatif Kontrol, Feature Ablasyon, IN_LEN Kirilganlik, Sektorel Kontrast) temsil eder. Alt barda toplam istatistikler (26 deney, 6 DL mimari, 378+ konfigurasyon, 30+ gorsel, 115+ CSV, 7 walk-forward fold) yer almaktadir.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92406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1_Proje_Ozet_Infografik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2406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b/>
          <w:sz w:val="28"/>
        </w:rPr>
        <w:t>Concept Drift Zaman Serisi</w:t>
      </w:r>
    </w:p>
    <w:p>
      <w:r>
        <w:rPr>
          <w:sz w:val="20"/>
        </w:rPr>
        <w:t>Ust panel: USDTRY ve Petrol fiyatlarinin THYAO ile olan korelasyonlarinin egitim ve test setleri arasindaki kirilmasini (concept drift) gostermektedir. Kirmizi alan USDTRY, mavi alan Oil degiskeninin train-test korelasyon farkini (drift buyuklugunu) temsil eder. Ozellikle Fold 3-7 arasinda USDTRY korelasyonu dramatik olarak dusmekte, Oil korelasyonu ise isaret degistirmektedir. Alt panel: Her fold icin model dogrulugu (kirmizi), ters-yon dogrulugu (yesil) ve naive baseline (sari) karsilastirilmaktadir. Anti-prediktif foldlar (Fold 1, 2, 6) acik kirmizi arka plan ile isaretlenmistir. Bu grafik, korelasyon kirilmasinin anti-prediktif davranisla zamansal olarak ortusmesini dogrudan gostermektedir.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7812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2_Concept_Drift_Timelin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812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b/>
          <w:sz w:val="28"/>
        </w:rPr>
        <w:t>Metodoloji Pipeline Akis Semasi</w:t>
      </w:r>
    </w:p>
    <w:p>
      <w:r>
        <w:rPr>
          <w:sz w:val="20"/>
        </w:rPr>
        <w:t>MC-AWARE projesinin uctan uca metodoloji akis semasi. Ust satir (Ana Hat): Ham veri toplama (Yahoo Finance, 2014-2023) -&gt; Feature muhendisligi (13 ozellik: 10 teknik indikator + 3 makro degisken) -&gt; MC-Aware on isleme (class_weight=balanced + MC-Aware loss ile lambda tuning) -&gt; Derin ogrenme modelleri (6 mimari: BiLSTM, GRU, Conv1D, TCN, Transformer, RNN) -&gt; Degerlendirme ve analiz (Walk-Forward CV, 7 fold, 5 seed, Flip-Acc metrigi). Alt satir (Dogrulama Katmani): Negatif kontrol (klasik ML baseline) -&gt; Ablasyon testleri (feature, IN_LEN, seed) -&gt; Istatistiksel dogrulama (McNemar, binomial CI) -&gt; Sektorel genelleme (sigorta, holding, NASDAQ) -&gt; Bulgular (anti-prediktif oruntusu, concept drift kaniti, EMH-uyumlu sonuc). Toplam 378+ konfigurasyon, 26 deney, 90/90 MC=0 basarisi.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94053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3_Metodoloji_Pipelin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40535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headerReference w:type="default" r:id="rId7"/>
      <w:footerReference w:type="default" r:id="rId8"/>
      <w:pgSz w:w="11906" w:h="16838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68900" w:sz="8" w:space="4"/>
      </w:pBdr>
      <w:tabs>
        <w:tab w:val="right" w:pos="9306"/>
      </w:tabs>
    </w:pPr>
    <w:r>
      <w:rPr>
        <w:rFonts w:ascii="Calibri" w:cs="Calibri" w:eastAsia="Calibri" w:hAnsi="Calibri"/>
        <w:color w:val="5B6273"/>
        <w:sz w:val="16"/>
        <w:szCs w:val="16"/>
      </w:rPr>
      <w:t xml:space="preserve">Kurt - Demir - Karadag Erdemir</w:t>
    </w:r>
    <w:r>
      <w:rPr>
        <w:rFonts w:ascii="Calibri" w:cs="Calibri" w:eastAsia="Calibri" w:hAnsi="Calibri"/>
        <w:i/>
        <w:iCs/>
        <w:color w:val="5B6273"/>
        <w:sz w:val="16"/>
        <w:szCs w:val="16"/>
      </w:rPr>
      <w:t xml:space="preserve">   -   25 Mayis 2026</w:t>
    </w:r>
    <w:r>
      <w:rPr>
        <w:rFonts w:ascii="Calibri" w:cs="Calibri" w:eastAsia="Calibri" w:hAnsi="Calibri"/>
        <w:color w:val="5B6273"/>
        <w:sz w:val="16"/>
        <w:szCs w:val="16"/>
      </w:rPr>
      <w:t xml:space="preserve">	Sayfa </w:t>
    </w:r>
    <w:r>
      <w:rPr>
        <w:rFonts w:ascii="Calibri" w:cs="Calibri" w:eastAsia="Calibri" w:hAnsi="Calibri"/>
        <w:b/>
        <w:bCs/>
        <w:color w:val="0B254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B6273"/>
        <w:sz w:val="16"/>
        <w:szCs w:val="16"/>
      </w:rPr>
      <w:t xml:space="preserve"> / </w:t>
    </w:r>
    <w:r>
      <w:rPr>
        <w:rFonts w:ascii="Calibri" w:cs="Calibri" w:eastAsia="Calibri" w:hAnsi="Calibri"/>
        <w:color w:val="5B627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68900" w:sz="8" w:space="4"/>
      </w:pBdr>
      <w:tabs>
        <w:tab w:val="right" w:pos="9306"/>
      </w:tabs>
      <w:jc w:val="left"/>
    </w:pPr>
    <w:r>
      <w:rPr>
        <w:rFonts w:ascii="Cambria" w:cs="Cambria" w:eastAsia="Cambria" w:hAnsi="Cambria"/>
        <w:b/>
        <w:bCs/>
        <w:color w:val="0B2545"/>
        <w:sz w:val="18"/>
        <w:szCs w:val="18"/>
      </w:rPr>
      <w:t xml:space="preserve">TUBITAK 2209-A</w:t>
    </w:r>
    <w:r>
      <w:rPr>
        <w:rFonts w:ascii="Calibri" w:cs="Calibri" w:eastAsia="Calibri" w:hAnsi="Calibri"/>
        <w:color w:val="5B6273"/>
        <w:spacing w:val="60"/>
        <w:sz w:val="16"/>
        <w:szCs w:val="16"/>
      </w:rPr>
      <w:t xml:space="preserve">   |   MC-AWARE PROJESI</w:t>
    </w:r>
    <w:r>
      <w:rPr>
        <w:rFonts w:ascii="Calibri" w:cs="Calibri" w:eastAsia="Calibri" w:hAnsi="Calibri"/>
        <w:color w:val="B68900"/>
        <w:spacing w:val="80"/>
        <w:sz w:val="16"/>
        <w:szCs w:val="16"/>
      </w:rPr>
      <w:t xml:space="preserve">	DURUM RAPORU - v7 NIHAI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540" w:hanging="300"/>
      </w:pPr>
      <w:rPr>
        <w:b/>
        <w:bCs/>
        <w:color w:val="B68900"/>
      </w:rPr>
    </w:lvl>
    <w:lvl w:ilvl="1" w15:tentative="1">
      <w:start w:val="1"/>
      <w:numFmt w:val="bullet"/>
      <w:lvlText w:val="•"/>
      <w:lvlJc w:val="left"/>
      <w:pPr>
        <w:ind w:left="9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33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9627dc98758d7fc6468a2d9e6c66ca233e71293f.png"/><Relationship Id="rId10" Type="http://schemas.openxmlformats.org/officeDocument/2006/relationships/image" Target="media/883480720208a33e9f1db6862b97477ce99a26e3.png"/><Relationship Id="rId11" Type="http://schemas.openxmlformats.org/officeDocument/2006/relationships/image" Target="media/b47d63057fff094072649b29132ec7d7dfb4a537.png"/><Relationship Id="rId12" Type="http://schemas.openxmlformats.org/officeDocument/2006/relationships/image" Target="media/3e028c935b557042bf0fb74cbf274e769f5387c5.png"/><Relationship Id="rId13" Type="http://schemas.openxmlformats.org/officeDocument/2006/relationships/image" Target="media/47012c4bb49f2c4115f34ae29d642b378559e881.png"/><Relationship Id="rId14" Type="http://schemas.openxmlformats.org/officeDocument/2006/relationships/image" Target="media/8f36e69af5ef437b255bf190359e532dfa832ecf.png"/><Relationship Id="rId15" Type="http://schemas.openxmlformats.org/officeDocument/2006/relationships/image" Target="media/2b00d5022e22ae26d7800c0f202cfbe9284dd99c.png"/><Relationship Id="rId16" Type="http://schemas.openxmlformats.org/officeDocument/2006/relationships/image" Target="media/7a45fe78e4f7ef46c28dc13bb73fe3d7bf0f105f.png"/><Relationship Id="rId17" Type="http://schemas.openxmlformats.org/officeDocument/2006/relationships/image" Target="media/6e53845800aa700c4b2501d3a0c7f83071318312.png"/><Relationship Id="rId18" Type="http://schemas.openxmlformats.org/officeDocument/2006/relationships/image" Target="media/298f4fe5a88dcb9967ce1d09e3ef25d423ef500d.png"/><Relationship Id="rId19" Type="http://schemas.openxmlformats.org/officeDocument/2006/relationships/image" Target="media/85e79de15181a9349fc2b6d642d763243bcc5ea0.png"/><Relationship Id="rId20" Type="http://schemas.openxmlformats.org/officeDocument/2006/relationships/image" Target="media/7d5c6474d25d2cac02c9cf21d6a3dc4061adae94.png"/><Relationship Id="rId21" Type="http://schemas.openxmlformats.org/officeDocument/2006/relationships/image" Target="media/018dd96a5990da1e30068be2b97462d1eff2c6ed.png"/><Relationship Id="rId22" Type="http://schemas.openxmlformats.org/officeDocument/2006/relationships/image" Target="media/a65c19437e73e33132f9653311000bbc46a9b0c6.png"/><Relationship Id="rId23" Type="http://schemas.openxmlformats.org/officeDocument/2006/relationships/image" Target="media/33c598f86be2a07f00356df4f8542878bc086e75.png"/><Relationship Id="rId24" Type="http://schemas.openxmlformats.org/officeDocument/2006/relationships/image" Target="media/4d5008b69cfa93d39724339802c780b3d473cbfc.png"/><Relationship Id="rId25" Type="http://schemas.openxmlformats.org/officeDocument/2006/relationships/image" Target="media/eed5eb493d70810a5b65e033882602c4a9dba84d.png"/><Relationship Id="rId26" Type="http://schemas.openxmlformats.org/officeDocument/2006/relationships/image" Target="media/10f803dd878b4cdffd20d04e8e84fcbdc39b5b90.png"/><Relationship Id="rId27" Type="http://schemas.openxmlformats.org/officeDocument/2006/relationships/image" Target="media/e60ea9410a8920bdf80d194f38dd29eac93d41a6.png"/><Relationship Id="rId28" Type="http://schemas.openxmlformats.org/officeDocument/2006/relationships/image" Target="media/c1608c98c9ae8ed737a5a1e9ad5b23d92b91a17e.png"/><Relationship Id="rId29" Type="http://schemas.openxmlformats.org/officeDocument/2006/relationships/image" Target="media/9cb2312e7bef61d6d351cc38c7364abd4cb87120.png"/><Relationship Id="rId30" Type="http://schemas.openxmlformats.org/officeDocument/2006/relationships/image" Target="media/5d57032eacc65121b9d6347f6f204008cb12ef06.png"/><Relationship Id="rId31" Type="http://schemas.openxmlformats.org/officeDocument/2006/relationships/image" Target="media/0e0b2e2b211b82b2ddf6a4d2107acdf01417d396.png"/><Relationship Id="rId32" Type="http://schemas.openxmlformats.org/officeDocument/2006/relationships/image" Target="media/628a63972fdeb3809bf4a1d8782bbd0da118b655.png"/><Relationship Id="rId33" Type="http://schemas.openxmlformats.org/officeDocument/2006/relationships/image" Target="media/35d7e8bc22750eb6ecd1bfeca84bbcbc666f0d9a.png"/><Relationship Id="rId34" Type="http://schemas.openxmlformats.org/officeDocument/2006/relationships/image" Target="media/5d57af6cd35aa0582e10fb6d868bd98a0c690eb4.png"/><Relationship Id="rId35" Type="http://schemas.openxmlformats.org/officeDocument/2006/relationships/image" Target="media/f52d7ff71cb66b61bf18dccfda404b3589adb7b1.png"/><Relationship Id="rId36" Type="http://schemas.openxmlformats.org/officeDocument/2006/relationships/image" Target="media/c015289d64b612b7af43b9f8243223142f2eb712.png"/><Relationship Id="rId37" Type="http://schemas.openxmlformats.org/officeDocument/2006/relationships/image" Target="media/69022a0e865d7bdb9e44ca99f1726712c4644a1f.png"/><Relationship Id="rId38" Type="http://schemas.openxmlformats.org/officeDocument/2006/relationships/image" Target="media/2b75ddccaaa70c397e5585a007a52696c93655b7.png"/><Relationship Id="rId39" Type="http://schemas.openxmlformats.org/officeDocument/2006/relationships/fontTable" Target="fontTable.xml"/><Relationship Id="rId40" Type="http://schemas.openxmlformats.org/officeDocument/2006/relationships/image" Target="media/image1.png"/><Relationship Id="rId41" Type="http://schemas.openxmlformats.org/officeDocument/2006/relationships/image" Target="media/image2.png"/><Relationship Id="rId42" Type="http://schemas.openxmlformats.org/officeDocument/2006/relationships/image" Target="media/image3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TUBITAK 2209-A Proje Durumu Raporu (v7 NIHAI)</dc:title>
  <dc:creator>Mehmet Ali KURT</dc:creator>
  <dc:description>MC-AWARE Projesi Durum Raporu - CSV ground-truth uyumlu</dc:description>
  <cp:lastModifiedBy>Un-named</cp:lastModifiedBy>
  <cp:revision>1</cp:revision>
  <dcterms:created xsi:type="dcterms:W3CDTF">2026-05-25T08:28:43.576Z</dcterms:created>
  <dcterms:modified xsi:type="dcterms:W3CDTF">2026-05-25T08:28:43.577Z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