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TÜBİTAK 2209-A ÜNİVERSİTE ÖĞRENCİLERİ ARAŞTIRMA PROJELERİ</w:t>
        <w:br/>
        <w:t>DESTEKLEME PROGRAMI</w:t>
      </w:r>
    </w:p>
    <w:p/>
    <w:p>
      <w:pPr>
        <w:jc w:val="center"/>
      </w:pPr>
      <w:r>
        <w:rPr>
          <w:b/>
          <w:sz w:val="28"/>
        </w:rPr>
        <w:t>SONUÇ RAPORU</w:t>
      </w:r>
    </w:p>
    <w:p/>
    <w:p>
      <w:pPr>
        <w:pStyle w:val="Heading1"/>
      </w:pPr>
      <w:r>
        <w:t>GENEL BİLGİLER</w:t>
      </w:r>
    </w:p>
    <w:tbl>
      <w:tblPr>
        <w:tblStyle w:val="TableGrid"/>
        <w:tblW w:type="auto" w:w="0"/>
        <w:jc w:val="center"/>
        <w:tblLook w:firstColumn="1" w:firstRow="1" w:lastColumn="0" w:lastRow="0" w:noHBand="0" w:noVBand="1" w:val="04A0"/>
      </w:tblPr>
      <w:tblGrid>
        <w:gridCol w:w="4703"/>
        <w:gridCol w:w="4703"/>
      </w:tblGrid>
      <w:tr>
        <w:tc>
          <w:tcPr>
            <w:tcW w:type="dxa" w:w="4703"/>
          </w:tcPr>
          <w:p>
            <w:r>
              <w:rPr>
                <w:b/>
                <w:sz w:val="22"/>
              </w:rPr>
              <w:t>PROJENİN KONUSU</w:t>
            </w:r>
          </w:p>
        </w:tc>
        <w:tc>
          <w:tcPr>
            <w:tcW w:type="dxa" w:w="4703"/>
          </w:tcPr>
          <w:p>
            <w:r>
              <w:rPr>
                <w:sz w:val="22"/>
              </w:rPr>
              <w:t>MC-AWARE: Derin Öğrenmede Anti-Prediktif Davranışın Çok Boyutlu Teşhisi</w:t>
            </w:r>
          </w:p>
        </w:tc>
      </w:tr>
      <w:tr>
        <w:tc>
          <w:tcPr>
            <w:tcW w:type="dxa" w:w="4703"/>
          </w:tcPr>
          <w:p>
            <w:r>
              <w:rPr>
                <w:b/>
                <w:sz w:val="22"/>
              </w:rPr>
              <w:t>PROJE YÜRÜTÜCÜSÜNÜN ADI</w:t>
            </w:r>
          </w:p>
        </w:tc>
        <w:tc>
          <w:tcPr>
            <w:tcW w:type="dxa" w:w="4703"/>
          </w:tcPr>
          <w:p>
            <w:r>
              <w:rPr>
                <w:sz w:val="22"/>
              </w:rPr>
              <w:t>Mehmet Ali Kurt</w:t>
            </w:r>
          </w:p>
        </w:tc>
      </w:tr>
      <w:tr>
        <w:tc>
          <w:tcPr>
            <w:tcW w:type="dxa" w:w="4703"/>
          </w:tcPr>
          <w:p>
            <w:r>
              <w:rPr>
                <w:b/>
                <w:sz w:val="22"/>
              </w:rPr>
              <w:t>DANIŞMANIN ADI</w:t>
            </w:r>
          </w:p>
        </w:tc>
        <w:tc>
          <w:tcPr>
            <w:tcW w:type="dxa" w:w="4703"/>
          </w:tcPr>
          <w:p>
            <w:r>
              <w:rPr>
                <w:sz w:val="22"/>
              </w:rPr>
              <w:t>Dr. Övgücan Karadağ Erdemir</w:t>
            </w:r>
          </w:p>
        </w:tc>
      </w:tr>
      <w:tr>
        <w:tc>
          <w:tcPr>
            <w:tcW w:type="dxa" w:w="4703"/>
          </w:tcPr>
          <w:p>
            <w:r>
              <w:rPr>
                <w:b/>
                <w:sz w:val="22"/>
              </w:rPr>
              <w:t>PROJE BAŞLANGIÇ VE BİTİŞ TARİHLERİ</w:t>
            </w:r>
          </w:p>
        </w:tc>
        <w:tc>
          <w:tcPr>
            <w:tcW w:type="dxa" w:w="4703"/>
          </w:tcPr>
          <w:p>
            <w:r>
              <w:rPr>
                <w:sz w:val="22"/>
              </w:rPr>
              <w:t>Başlangıç: Ekim 2025 — Bitiş: Haziran 2026</w:t>
            </w:r>
          </w:p>
        </w:tc>
      </w:tr>
    </w:tbl>
    <w:p/>
    <w:p>
      <w:pPr>
        <w:jc w:val="center"/>
      </w:pPr>
      <w:r>
        <w:rPr>
          <w:b/>
          <w:sz w:val="24"/>
        </w:rPr>
        <w:t>Sonuç Raporu Formatı:</w:t>
      </w:r>
    </w:p>
    <w:p/>
    <w:p>
      <w:pPr>
        <w:pStyle w:val="Heading1"/>
      </w:pPr>
      <w:r>
        <w:t>Giriş</w:t>
      </w:r>
    </w:p>
    <w:p>
      <w:pPr>
        <w:ind w:firstLine="567"/>
      </w:pPr>
      <w:r>
        <w:t>Bu proje, TÜBİTAK 2209-A Lisans Araştırma Projeleri Destekleme Programı kapsamında, Borsa İstanbul (BIST) günlük yön tahmininde derin öğrenme modellerinin beklenmedik bir davranışını — anti-prediktif eğilimi — sistematik olarak tespit etmeyi ve çok boyutlu teşhisini gerçekleştirmeyi amaçlamaktadır.</w:t>
      </w:r>
    </w:p>
    <w:p>
      <w:pPr>
        <w:ind w:firstLine="567"/>
      </w:pPr>
      <w:r>
        <w:t>Anti-prediktif davranış, bir makine öğrenmesi modelinin rastgele tahminden (~%50) sistematik olarak daha kötü performans sergilemesi, yani tahminlerinin gerçek sonuçlarla negatif korelasyon göstermesi durumudur. Bu fenomen, modelin güçlü bir sinyal yakaladığını ancak bu sinyalin yönünün test döneminde tersine döndüğünü gösterir.</w:t>
      </w:r>
    </w:p>
    <w:p>
      <w:pPr>
        <w:ind w:firstLine="567"/>
      </w:pPr>
      <w:r>
        <w:t>Projede 6 farklı derin öğrenme mimarisi (BiLSTM, GRU, Conv1D, TCN, Transformer, SimpleRNN) ile 700'den fazla konfigürasyon, 11 BIST hissesi, 27 varlık ve 130 CSV çıktı üretilmiştir. Türk akademik literatüründe, derin öğrenme modellerinin Çoğunluk Sınıfı (MC) tuzağını sistematik olarak belgeleyen ve anti-prediktif davranışı çok boyutlu teşhis eden ilk çalışmadır.</w:t>
      </w:r>
    </w:p>
    <w:p>
      <w:pPr>
        <w:pStyle w:val="Heading1"/>
      </w:pPr>
      <w:r>
        <w:t>Rapor Dönemlerinde Yapılan Çalışmalar</w:t>
      </w:r>
    </w:p>
    <w:p>
      <w:r>
        <w:rPr>
          <w:b/>
          <w:sz w:val="24"/>
        </w:rPr>
        <w:t>Faz 1: Prototipleme ve İlk Deneyler (Ekim–Aralık 2025)</w:t>
      </w:r>
    </w:p>
    <w:p>
      <w:pPr>
        <w:pStyle w:val="ListBullet"/>
      </w:pPr>
      <w:r>
        <w:t>BiLSTM v1-v3 prototiplerinin geliştirilmesi ve THYAO hissesi üzerinde test edilmesi.</w:t>
      </w:r>
    </w:p>
    <w:p>
      <w:pPr>
        <w:pStyle w:val="ListBullet"/>
      </w:pPr>
      <w:r>
        <w:t>Makroekonomik değişkenlerin (USDTRY, Brent Petrol, TCMB Faiz) modele entegrasyonu.</w:t>
      </w:r>
    </w:p>
    <w:p>
      <w:pPr>
        <w:pStyle w:val="ListBullet"/>
      </w:pPr>
      <w:r>
        <w:t>Çoğunluk Sınıfı (MC) tuzağının tespit edilmesi ve class_weight=balanced yöntemiyle çözülmesi.</w:t>
      </w:r>
    </w:p>
    <w:p>
      <w:pPr>
        <w:pStyle w:val="ListBullet"/>
      </w:pPr>
      <w:r>
        <w:t>Anti-prediktif davranışın ilk kez gözlemlenmesi: model ~%40 doğruluk, flip ~%60 doğruluk.</w:t>
      </w:r>
    </w:p>
    <w:p>
      <w:pPr>
        <w:pStyle w:val="ListBullet"/>
      </w:pPr>
      <w:r>
        <w:t>İlk CSV çıktılarının üretilmesi ve analiz pipeline oluşturulması.</w:t>
      </w:r>
    </w:p>
    <w:p/>
    <w:p>
      <w:r>
        <w:rPr>
          <w:b/>
          <w:sz w:val="24"/>
        </w:rPr>
        <w:t>Faz 2: Ablasyon ve Diagnostik Deneyler (Ocak–Şubat 2026)</w:t>
      </w:r>
    </w:p>
    <w:p>
      <w:pPr>
        <w:pStyle w:val="ListBullet"/>
      </w:pPr>
      <w:r>
        <w:t>Özellik Grubu Ablasyonu: full_13 vs no_ext_10 karşılaştırması. Makro değişkenler çıkarıldığında anti-prediktif davranış tamamen ortadan kalkmıştır.</w:t>
      </w:r>
    </w:p>
    <w:p>
      <w:pPr>
        <w:pStyle w:val="ListBullet"/>
      </w:pPr>
      <w:r>
        <w:t>Tekli Özellik Ablasyonu: Tek değişken çıkarıldığında etki gözlemlenmemiş, dış değişkenlerin sinerjik sahte korelasyon oluşturduğu kesinleşmiştir.</w:t>
      </w:r>
    </w:p>
    <w:p>
      <w:pPr>
        <w:pStyle w:val="ListBullet"/>
      </w:pPr>
      <w:r>
        <w:t>IN_LEN Ablasyonu v1 ve v2: IN_LEN ≤ 5 anti-prediktif davranışı tetiklerken, IN_LEN = 10 tamamen ortadan kaldırmıştır.</w:t>
      </w:r>
    </w:p>
    <w:p>
      <w:pPr>
        <w:pStyle w:val="ListBullet"/>
      </w:pPr>
      <w:r>
        <w:t>MI Kalibrasyon: Karşılıklı Bilgi (MI) skorlarının histogram yanlılığı içerdiği saptanmıştır.</w:t>
      </w:r>
    </w:p>
    <w:p>
      <w:pPr>
        <w:pStyle w:val="ListBullet"/>
      </w:pPr>
      <w:r>
        <w:t>Etiket doğrulama ve veri bütünlüğü kontrolü gerçekleştirilmiştir.</w:t>
      </w:r>
    </w:p>
    <w:p/>
    <w:p>
      <w:r>
        <w:rPr>
          <w:b/>
          <w:sz w:val="24"/>
        </w:rPr>
        <w:t>Faz 3: Çoklu Mimari Testi ve Walk-Forward Doğrulama (Mart–Nisan 2026)</w:t>
      </w:r>
    </w:p>
    <w:p>
      <w:pPr>
        <w:pStyle w:val="ListBullet"/>
      </w:pPr>
      <w:r>
        <w:t>6 farklı derin öğrenme mimarisinin (BiLSTM, GRU, Conv1D, TCN, Transformer, SimpleRNN) sistematik karşılaştırması yapılmıştır.</w:t>
      </w:r>
    </w:p>
    <w:p>
      <w:pPr>
        <w:pStyle w:val="ListBullet"/>
      </w:pPr>
      <w:r>
        <w:t>McNemar testi ile mimariler arası istatistiksel fark analizi gerçekleştirilmiştir.</w:t>
      </w:r>
    </w:p>
    <w:p>
      <w:pPr>
        <w:pStyle w:val="ListBullet"/>
      </w:pPr>
      <w:r>
        <w:t>7-fold Walk-Forward v1 ve v2 doğrulama uygulanmış, v2 ile validasyon verisi (val_data) düzeltmesi yapılmıştır.</w:t>
      </w:r>
    </w:p>
    <w:p>
      <w:pPr>
        <w:pStyle w:val="ListBullet"/>
      </w:pPr>
      <w:r>
        <w:t>Dönemsel anti-prediktif harita çıkarılmıştır: Fold 2-3 (COVID-19 dönemi) = %100 anti-prediktif, Fold 1, 4, 5 (normal dönemler) = %0.</w:t>
      </w:r>
    </w:p>
    <w:p>
      <w:pPr>
        <w:pStyle w:val="ListBullet"/>
      </w:pPr>
      <w:r>
        <w:t>Ensemble deneyleri (Hard Vote, Soft Vote) gerçekleştirilmiş, anti-prediktif davranışın ensemble seviyesinde de korunduğu gösterilmiştir.</w:t>
      </w:r>
    </w:p>
    <w:p/>
    <w:p>
      <w:r>
        <w:rPr>
          <w:b/>
          <w:sz w:val="24"/>
        </w:rPr>
        <w:t>Faz 4: Çapraz Piyasa ve Çoklu Hisse Testleri (Nisan–Mayıs 2026)</w:t>
      </w:r>
    </w:p>
    <w:p>
      <w:pPr>
        <w:pStyle w:val="ListBullet"/>
      </w:pPr>
      <w:r>
        <w:t>NASDAQ (AAPL) vs BIST (THYAO) çapraz piyasa testi: BIST anti-prediktif davranış sergilerken, NASDAQ normal davranış göstermiştir.</w:t>
      </w:r>
    </w:p>
    <w:p>
      <w:pPr>
        <w:pStyle w:val="ListBullet"/>
      </w:pPr>
      <w:r>
        <w:t>11 BIST hissesinde genişletilmiş test: 5 hisse anti-prediktif (THYAO, PGSUS, HEKTS, SASA, KRDMD), 6 hisse normal/nötr davranış.</w:t>
      </w:r>
    </w:p>
    <w:p>
      <w:pPr>
        <w:pStyle w:val="ListBullet"/>
      </w:pPr>
      <w:r>
        <w:t>Sektörel ayrışma kesin olarak kanıtlanmıştır: havacılık ve spekülatif sektörler anti-prediktif, bankacılık ve otomotiv sektörleri normal.</w:t>
      </w:r>
    </w:p>
    <w:p>
      <w:pPr>
        <w:pStyle w:val="ListBullet"/>
      </w:pPr>
      <w:r>
        <w:t>Bonferroni-düzeltilmiş p = 0.00012 ile istatistiksel anlamlılık doğrulanmıştır.</w:t>
      </w:r>
    </w:p>
    <w:p>
      <w:pPr>
        <w:pStyle w:val="ListBullet"/>
      </w:pPr>
      <w:r>
        <w:t>BES fonları dahil sigorta ve holding sektörlü testler gerçekleştirilmiştir.</w:t>
      </w:r>
    </w:p>
    <w:p/>
    <w:p>
      <w:r>
        <w:rPr>
          <w:b/>
          <w:sz w:val="24"/>
        </w:rPr>
        <w:t>Faz 5: Dokümantasyon ve Yayın Hazırlığı (Mayıs–Haziran 2026)</w:t>
      </w:r>
    </w:p>
    <w:p>
      <w:pPr>
        <w:pStyle w:val="ListBullet"/>
      </w:pPr>
      <w:r>
        <w:t>Kapsamlı literatür taraması: 25 bölüm, 30+ referans (Türk çalışmaları dahil).</w:t>
      </w:r>
    </w:p>
    <w:p>
      <w:pPr>
        <w:pStyle w:val="ListBullet"/>
      </w:pPr>
      <w:r>
        <w:t>Araştırmanın kısıtları: 15 kısıt ve 15 gelecek çalışma iş paketi belirlenmiştir.</w:t>
      </w:r>
    </w:p>
    <w:p>
      <w:pPr>
        <w:pStyle w:val="ListBullet"/>
      </w:pPr>
      <w:r>
        <w:t>Streamlit interaktif dashboard geliştirilmiştir (10 tab, TR/EN dil desteği).</w:t>
      </w:r>
    </w:p>
    <w:p>
      <w:pPr>
        <w:pStyle w:val="ListBullet"/>
      </w:pPr>
      <w:r>
        <w:t>GitHub Pages statik dashboard oluşturulmuştur.</w:t>
      </w:r>
    </w:p>
    <w:p>
      <w:pPr>
        <w:pStyle w:val="ListBullet"/>
      </w:pPr>
      <w:r>
        <w:t>37 rapor görseli ve 4 özel rapor görseli (G1-G4) hazırlanmıştır.</w:t>
      </w:r>
    </w:p>
    <w:p>
      <w:pPr>
        <w:pStyle w:val="ListBullet"/>
      </w:pPr>
      <w:r>
        <w:t>Profesyonel dosya yapısı düzenlemesi ve GitHub deposuna aktarım (248 dosya) tamamlanmıştır.</w:t>
      </w:r>
    </w:p>
    <w:p>
      <w:pPr>
        <w:pStyle w:val="Heading1"/>
      </w:pPr>
      <w:r>
        <w:t>Sonuç</w:t>
      </w:r>
    </w:p>
    <w:p>
      <w:pPr>
        <w:ind w:firstLine="567"/>
      </w:pPr>
      <w:r>
        <w:t>Proje kapsamında gerçekleştirilen kapsamlı deneysel çalışma, derin öğrenme modellerinin gelişmekte olan piyasalarda (BIST) sistematik olarak anti-prediktif davranış sergileyebildiğini kesin olarak kanıtlamıştır. Aşağıdaki tablo, projenin temel özgün katkılarını özetlemektedir:</w:t>
      </w:r>
    </w:p>
    <w:p/>
    <w:tbl>
      <w:tblPr>
        <w:tblStyle w:val="TableGrid"/>
        <w:tblW w:type="auto" w:w="0"/>
        <w:jc w:val="center"/>
        <w:tblLook w:firstColumn="1" w:firstRow="1" w:lastColumn="0" w:lastRow="0" w:noHBand="0" w:noVBand="1" w:val="04A0"/>
      </w:tblPr>
      <w:tblGrid>
        <w:gridCol w:w="4703"/>
        <w:gridCol w:w="4703"/>
      </w:tblGrid>
      <w:tr>
        <w:tc>
          <w:tcPr>
            <w:tcW w:type="dxa" w:w="4703"/>
          </w:tcPr>
          <w:p>
            <w:r>
              <w:rPr>
                <w:b/>
                <w:sz w:val="20"/>
              </w:rPr>
              <w:t>Bulgu</w:t>
            </w:r>
          </w:p>
        </w:tc>
        <w:tc>
          <w:tcPr>
            <w:tcW w:type="dxa" w:w="4703"/>
          </w:tcPr>
          <w:p>
            <w:r>
              <w:rPr>
                <w:b/>
                <w:sz w:val="20"/>
              </w:rPr>
              <w:t>Kanıt</w:t>
            </w:r>
          </w:p>
        </w:tc>
      </w:tr>
      <w:tr>
        <w:tc>
          <w:tcPr>
            <w:tcW w:type="dxa" w:w="4703"/>
          </w:tcPr>
          <w:p>
            <w:r>
              <w:rPr>
                <w:sz w:val="20"/>
              </w:rPr>
              <w:t>Anti-prediktif davranış</w:t>
            </w:r>
          </w:p>
        </w:tc>
        <w:tc>
          <w:tcPr>
            <w:tcW w:type="dxa" w:w="4703"/>
          </w:tcPr>
          <w:p>
            <w:r>
              <w:rPr>
                <w:sz w:val="20"/>
              </w:rPr>
              <w:t>700+ konfigürasyon, 6 mimari, ~%40 model → ~%60 flip</w:t>
            </w:r>
          </w:p>
        </w:tc>
      </w:tr>
      <w:tr>
        <w:tc>
          <w:tcPr>
            <w:tcW w:type="dxa" w:w="4703"/>
          </w:tcPr>
          <w:p>
            <w:r>
              <w:rPr>
                <w:sz w:val="20"/>
              </w:rPr>
              <w:t>Sektörel ayrışma</w:t>
            </w:r>
          </w:p>
        </w:tc>
        <w:tc>
          <w:tcPr>
            <w:tcW w:type="dxa" w:w="4703"/>
          </w:tcPr>
          <w:p>
            <w:r>
              <w:rPr>
                <w:sz w:val="20"/>
              </w:rPr>
              <w:t>Havacılık/spekülatif: %100, bankacılık: normal (p &lt; 0.0001)</w:t>
            </w:r>
          </w:p>
        </w:tc>
      </w:tr>
      <w:tr>
        <w:tc>
          <w:tcPr>
            <w:tcW w:type="dxa" w:w="4703"/>
          </w:tcPr>
          <w:p>
            <w:r>
              <w:rPr>
                <w:sz w:val="20"/>
              </w:rPr>
              <w:t>Pencere uzunluğu etkisi</w:t>
            </w:r>
          </w:p>
        </w:tc>
        <w:tc>
          <w:tcPr>
            <w:tcW w:type="dxa" w:w="4703"/>
          </w:tcPr>
          <w:p>
            <w:r>
              <w:rPr>
                <w:sz w:val="20"/>
              </w:rPr>
              <w:t>IN_LEN ≤ 5: tetikler, IN_LEN = 10: ortadan kaldırır</w:t>
            </w:r>
          </w:p>
        </w:tc>
      </w:tr>
      <w:tr>
        <w:tc>
          <w:tcPr>
            <w:tcW w:type="dxa" w:w="4703"/>
          </w:tcPr>
          <w:p>
            <w:r>
              <w:rPr>
                <w:sz w:val="20"/>
              </w:rPr>
              <w:t>Makro değişken mekanizması</w:t>
            </w:r>
          </w:p>
        </w:tc>
        <w:tc>
          <w:tcPr>
            <w:tcW w:type="dxa" w:w="4703"/>
          </w:tcPr>
          <w:p>
            <w:r>
              <w:rPr>
                <w:sz w:val="20"/>
              </w:rPr>
              <w:t>USDTRY + Oil + TCMB çıkarılınca anomali tamamen yok</w:t>
            </w:r>
          </w:p>
        </w:tc>
      </w:tr>
      <w:tr>
        <w:tc>
          <w:tcPr>
            <w:tcW w:type="dxa" w:w="4703"/>
          </w:tcPr>
          <w:p>
            <w:r>
              <w:rPr>
                <w:sz w:val="20"/>
              </w:rPr>
              <w:t>Dönemsel harita</w:t>
            </w:r>
          </w:p>
        </w:tc>
        <w:tc>
          <w:tcPr>
            <w:tcW w:type="dxa" w:w="4703"/>
          </w:tcPr>
          <w:p>
            <w:r>
              <w:rPr>
                <w:sz w:val="20"/>
              </w:rPr>
              <w:t>COVID (Fold 2-3): %100, Normal (Fold 1,4,5): %0</w:t>
            </w:r>
          </w:p>
        </w:tc>
      </w:tr>
      <w:tr>
        <w:tc>
          <w:tcPr>
            <w:tcW w:type="dxa" w:w="4703"/>
          </w:tcPr>
          <w:p>
            <w:r>
              <w:rPr>
                <w:sz w:val="20"/>
              </w:rPr>
              <w:t>Çapraz piyasa</w:t>
            </w:r>
          </w:p>
        </w:tc>
        <w:tc>
          <w:tcPr>
            <w:tcW w:type="dxa" w:w="4703"/>
          </w:tcPr>
          <w:p>
            <w:r>
              <w:rPr>
                <w:sz w:val="20"/>
              </w:rPr>
              <w:t>BIST anti-prediktif, NASDAQ normal</w:t>
            </w:r>
          </w:p>
        </w:tc>
      </w:tr>
      <w:tr>
        <w:tc>
          <w:tcPr>
            <w:tcW w:type="dxa" w:w="4703"/>
          </w:tcPr>
          <w:p>
            <w:r>
              <w:rPr>
                <w:sz w:val="20"/>
              </w:rPr>
              <w:t>MC tuzağı çözümü</w:t>
            </w:r>
          </w:p>
        </w:tc>
        <w:tc>
          <w:tcPr>
            <w:tcW w:type="dxa" w:w="4703"/>
          </w:tcPr>
          <w:p>
            <w:r>
              <w:rPr>
                <w:sz w:val="20"/>
              </w:rPr>
              <w:t>700+ koşuda MC = 0 (hiçbir model çoğunluk sınıfına çökmedi)</w:t>
            </w:r>
          </w:p>
        </w:tc>
      </w:tr>
      <w:tr>
        <w:tc>
          <w:tcPr>
            <w:tcW w:type="dxa" w:w="4703"/>
          </w:tcPr>
          <w:p>
            <w:r>
              <w:rPr>
                <w:sz w:val="20"/>
              </w:rPr>
              <w:t>Falsifikasyon</w:t>
            </w:r>
          </w:p>
        </w:tc>
        <w:tc>
          <w:tcPr>
            <w:tcW w:type="dxa" w:w="4703"/>
          </w:tcPr>
          <w:p>
            <w:r>
              <w:rPr>
                <w:sz w:val="20"/>
              </w:rPr>
              <w:t>11 hisselik stres testi, Bonferroni p = 0.00012</w:t>
            </w:r>
          </w:p>
        </w:tc>
      </w:tr>
      <w:tr>
        <w:tc>
          <w:tcPr>
            <w:tcW w:type="dxa" w:w="4703"/>
          </w:tcPr>
          <w:p>
            <w:r>
              <w:rPr>
                <w:sz w:val="20"/>
              </w:rPr>
              <w:t>İstatistiksel anlamlılık</w:t>
            </w:r>
          </w:p>
        </w:tc>
        <w:tc>
          <w:tcPr>
            <w:tcW w:type="dxa" w:w="4703"/>
          </w:tcPr>
          <w:p>
            <w:r>
              <w:rPr>
                <w:sz w:val="20"/>
              </w:rPr>
              <w:t>Bireysel p &lt; 0.0001, Bonferroni-düzeltilmiş p = 0.00012</w:t>
            </w:r>
          </w:p>
        </w:tc>
      </w:tr>
      <w:tr>
        <w:tc>
          <w:tcPr>
            <w:tcW w:type="dxa" w:w="4703"/>
          </w:tcPr>
          <w:p>
            <w:r>
              <w:rPr>
                <w:sz w:val="20"/>
              </w:rPr>
              <w:t>Ensemble direnci</w:t>
            </w:r>
          </w:p>
        </w:tc>
        <w:tc>
          <w:tcPr>
            <w:tcW w:type="dxa" w:w="4703"/>
          </w:tcPr>
          <w:p>
            <w:r>
              <w:rPr>
                <w:sz w:val="20"/>
              </w:rPr>
              <w:t>6-mimari ensemble da anti-prediktif davranışı düzeltmedi</w:t>
            </w:r>
          </w:p>
        </w:tc>
      </w:tr>
    </w:tbl>
    <w:p/>
    <w:p>
      <w:pPr>
        <w:ind w:firstLine="567"/>
      </w:pPr>
      <w:r>
        <w:t>Sonuç olarak, projemiz derin öğrenme modellerinin finansal tahmin görevlerinde "her zaman daha iyi" olmadığını, aksine belirli makroekonomik koşullar altında sistematik olarak yanlış yöne tahmin yapabildiğini göstermiştir. Bu "anti-prediktif" davranış, literatürde henüz yeterince incelenmemiş kritik bir fenomendir ve projemiz bu boşluğu doldurmaktadır.</w:t>
      </w:r>
    </w:p>
    <w:p>
      <w:pPr>
        <w:ind w:firstLine="567"/>
      </w:pPr>
      <w:r>
        <w:t>Projenin gelecek çalışmalarında, 15 iş paketi olarak belirlenen rejim algılama, seçici tahmin (Selective Abstain), çapraz piyasa doğrulama ve duygu analizi entegrasyonu gibi konuların araştırılması hedeflenmektedir.</w:t>
      </w:r>
    </w:p>
    <w:p>
      <w:pPr>
        <w:pStyle w:val="Heading1"/>
      </w:pPr>
      <w:r>
        <w:t>Çıktılar (Yayınlar, Sunumlar vb.)</w:t>
      </w:r>
    </w:p>
    <w:p>
      <w:r>
        <w:rPr>
          <w:b/>
        </w:rPr>
        <w:t xml:space="preserve">GitHub Deposu: </w:t>
      </w:r>
      <w:r>
        <w:t>https://github.com/kuurtali/Tubitak-2209A-MCAware — 248 dosya, 130 CSV çıktı</w:t>
      </w:r>
    </w:p>
    <w:p>
      <w:r>
        <w:rPr>
          <w:b/>
        </w:rPr>
        <w:t xml:space="preserve">Streamlit Dashboard: </w:t>
      </w:r>
      <w:r>
        <w:t>mcaware.streamlit.app — 10 tab, TR/EN, gerçek zamanlı interaktif araştırma paneli</w:t>
      </w:r>
    </w:p>
    <w:p>
      <w:r>
        <w:rPr>
          <w:b/>
        </w:rPr>
        <w:t xml:space="preserve">Akademik Doküman: </w:t>
      </w:r>
      <w:r>
        <w:t>Literatur_ve_Limitasyonlar.docx — 25 literatür bölümü + 15 kısıt + 15 gelecek çalışma iş paketi</w:t>
      </w:r>
    </w:p>
    <w:p>
      <w:r>
        <w:rPr>
          <w:b/>
        </w:rPr>
        <w:t xml:space="preserve">Rapor Görselleri: </w:t>
      </w:r>
      <w:r>
        <w:t>37 görsel (PNG) + 4 özel rapor görseli (sektörel dağılım, fold haritası vb.)</w:t>
      </w:r>
    </w:p>
    <w:p>
      <w:r>
        <w:rPr>
          <w:b/>
        </w:rPr>
        <w:t xml:space="preserve">Veri Çıktıları: </w:t>
      </w:r>
      <w:r>
        <w:t>130 CSV dosyası: 71 özet + 19 tahmin + 26 diagnostik + 14 eşik grid analizi</w:t>
      </w:r>
    </w:p>
    <w:p>
      <w:r>
        <w:rPr>
          <w:b/>
        </w:rPr>
        <w:t xml:space="preserve">R Scriptleri: </w:t>
      </w:r>
      <w:r>
        <w:t>52 R scripti, 7 klasör altında organize (01_prototypes → 07_araclar)</w:t>
      </w:r>
    </w:p>
    <w:p>
      <w:pPr>
        <w:pStyle w:val="Heading1"/>
      </w:pPr>
      <w:r>
        <w:t>Proje ile İlgili Harcama Kalemleri Hakkında Ayrıntılı Bilgi</w:t>
      </w:r>
    </w:p>
    <w:p>
      <w:r>
        <w:rPr>
          <w:i/>
        </w:rPr>
        <w:t>(Bu bölüm proje yürütücüsü tarafından doldurulacaktır.)</w:t>
      </w:r>
    </w:p>
    <w:p/>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Pr>
                <w:b/>
                <w:sz w:val="22"/>
              </w:rPr>
              <w:t>PROJE YÜRÜTÜCÜSÜNÜN</w:t>
              <w:br/>
              <w:t>ADI – SOYADI - İMZA</w:t>
            </w:r>
          </w:p>
        </w:tc>
        <w:tc>
          <w:tcPr>
            <w:tcW w:type="dxa" w:w="4703"/>
          </w:tcPr>
          <w:p>
            <w:pPr>
              <w:jc w:val="center"/>
            </w:pPr>
            <w:r>
              <w:rPr>
                <w:b/>
                <w:sz w:val="22"/>
              </w:rPr>
              <w:t>DANIŞMANIN</w:t>
              <w:br/>
              <w:t>ADI – SOYADI - İMZA</w:t>
            </w:r>
          </w:p>
        </w:tc>
      </w:tr>
      <w:tr>
        <w:tc>
          <w:tcPr>
            <w:tcW w:type="dxa" w:w="4703"/>
          </w:tcPr>
          <w:p>
            <w:pPr>
              <w:jc w:val="center"/>
            </w:pPr>
            <w:r>
              <w:rPr>
                <w:sz w:val="22"/>
              </w:rPr>
              <w:t>Mehmet Ali Kurt</w:t>
            </w:r>
          </w:p>
        </w:tc>
        <w:tc>
          <w:tcPr>
            <w:tcW w:type="dxa" w:w="4703"/>
          </w:tcPr>
          <w:p>
            <w:pPr>
              <w:jc w:val="center"/>
            </w:pPr>
            <w:r>
              <w:rPr>
                <w:sz w:val="22"/>
              </w:rPr>
              <w:t>Dr. Övgücan Karadağ Erdemir</w:t>
            </w:r>
          </w:p>
        </w:tc>
      </w:tr>
      <w:tr>
        <w:tc>
          <w:tcPr>
            <w:tcW w:type="dxa" w:w="4703"/>
          </w:tcPr>
          <w:p>
            <w:r/>
          </w:p>
        </w:tc>
        <w:tc>
          <w:tcPr>
            <w:tcW w:type="dxa" w:w="4703"/>
          </w:tcPr>
          <w:p>
            <w:r/>
          </w:p>
        </w:tc>
      </w:tr>
    </w:tbl>
    <w:p/>
    <w:p>
      <w:pPr>
        <w:jc w:val="center"/>
      </w:pPr>
      <w:r>
        <w:t>Tarih : Haziran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