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B68900" w:sz="24" w:space="2"/>
        </w:pBdr>
        <w:tabs>
          <w:tab w:val="right" w:pos="9306"/>
        </w:tabs>
        <w:spacing w:after="0" w:before="0"/>
      </w:pPr>
      <w:r>
        <w:rPr>
          <w:rFonts w:ascii="Cambria" w:cs="Cambria" w:eastAsia="Cambria" w:hAnsi="Cambria"/>
          <w:b/>
          <w:bCs/>
          <w:color w:val="0B2545"/>
          <w:sz w:val="20"/>
          <w:szCs w:val="20"/>
        </w:rPr>
        <w:t xml:space="preserve">TÜBİTAK 2209-A</w:t>
      </w:r>
      <w:r>
        <w:rPr>
          <w:rFonts w:ascii="Calibri" w:cs="Calibri" w:eastAsia="Calibri" w:hAnsi="Calibri"/>
          <w:color w:val="5B6273"/>
          <w:spacing w:val="100"/>
          <w:sz w:val="18"/>
          <w:szCs w:val="18"/>
        </w:rPr>
        <w:t xml:space="preserve">	2026 / 2 DÖNEMİ</w:t>
      </w:r>
    </w:p>
    <w:p>
      <w:pPr>
        <w:spacing w:after="0" w:before="1100"/>
      </w:pP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B68900"/>
          <w:spacing w:val="120"/>
          <w:sz w:val="18"/>
          <w:szCs w:val="18"/>
        </w:rPr>
        <w:t xml:space="preserve">PROJE DURUM RAPORU · v6 NİHAİ</w:t>
      </w:r>
    </w:p>
    <w:p>
      <w:pPr>
        <w:spacing w:after="80" w:before="0"/>
      </w:pPr>
      <w:r>
        <w:rPr>
          <w:rFonts w:ascii="Cambria" w:cs="Cambria" w:eastAsia="Cambria" w:hAnsi="Cambria"/>
          <w:color w:val="1F2330"/>
          <w:sz w:val="40"/>
          <w:szCs w:val="40"/>
        </w:rPr>
        <w:t xml:space="preserve">Türkiye Finansal Piyasalarında</w:t>
      </w:r>
    </w:p>
    <w:p>
      <w:pPr>
        <w:spacing w:after="80" w:before="0"/>
      </w:pPr>
      <w:r>
        <w:rPr>
          <w:rFonts w:ascii="Cambria" w:cs="Cambria" w:eastAsia="Cambria" w:hAnsi="Cambria"/>
          <w:color w:val="1F2330"/>
          <w:sz w:val="40"/>
          <w:szCs w:val="40"/>
        </w:rPr>
        <w:t xml:space="preserve">Derin Öğrenme Modellerinin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0B2545"/>
          <w:sz w:val="56"/>
          <w:szCs w:val="56"/>
        </w:rPr>
        <w:t xml:space="preserve">Majority Class Tuzağı</w:t>
      </w:r>
    </w:p>
    <w:p>
      <w:pPr>
        <w:pBdr>
          <w:bottom w:val="single" w:color="B68900" w:sz="12" w:space="4"/>
        </w:pBdr>
        <w:spacing w:after="0" w:before="80"/>
      </w:pPr>
      <w:r>
        <w:rPr>
          <w:rFonts w:ascii="Cambria" w:cs="Cambria" w:eastAsia="Cambria" w:hAnsi="Cambria"/>
          <w:i/>
          <w:iCs/>
          <w:color w:val="13315C"/>
          <w:sz w:val="26"/>
          <w:szCs w:val="26"/>
        </w:rPr>
        <w:t xml:space="preserve">Sistematik Teşhis ve BiLSTM Tabanlı Çözüm Yaklaşımı</w:t>
      </w:r>
    </w:p>
    <w:p>
      <w:pPr>
        <w:spacing w:before="640"/>
      </w:pP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6"/>
        <w:gridCol w:w="2326"/>
        <w:gridCol w:w="2326"/>
        <w:gridCol w:w="2328"/>
      </w:tblGrid>
      <w:tr>
        <w:tc>
          <w:tcPr>
            <w:tcW w:type="dxa" w:w="2326"/>
            <w:tcBorders>
              <w:top w:val="single" w:color="B68900" w:sz="36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220"/>
              <w:left w:type="dxa" w:w="200"/>
              <w:bottom w:type="dxa" w:w="22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B2545"/>
                <w:sz w:val="44"/>
                <w:szCs w:val="44"/>
              </w:rPr>
              <w:t xml:space="preserve">22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6273"/>
                <w:spacing w:val="30"/>
                <w:sz w:val="17"/>
                <w:szCs w:val="17"/>
              </w:rPr>
              <w:t xml:space="preserve">TAMAMLANAN DENEY</w:t>
            </w:r>
          </w:p>
        </w:tc>
        <w:tc>
          <w:tcPr>
            <w:tcW w:type="dxa" w:w="2326"/>
            <w:tcBorders>
              <w:top w:val="single" w:color="B68900" w:sz="36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220"/>
              <w:left w:type="dxa" w:w="200"/>
              <w:bottom w:type="dxa" w:w="22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B2545"/>
                <w:sz w:val="44"/>
                <w:szCs w:val="44"/>
              </w:rPr>
              <w:t xml:space="preserve">7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6273"/>
                <w:spacing w:val="30"/>
                <w:sz w:val="17"/>
                <w:szCs w:val="17"/>
              </w:rPr>
              <w:t xml:space="preserve">MİMARİ ABLASYON</w:t>
            </w:r>
          </w:p>
        </w:tc>
        <w:tc>
          <w:tcPr>
            <w:tcW w:type="dxa" w:w="2326"/>
            <w:tcBorders>
              <w:top w:val="single" w:color="B68900" w:sz="36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220"/>
              <w:left w:type="dxa" w:w="200"/>
              <w:bottom w:type="dxa" w:w="22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B2545"/>
                <w:sz w:val="44"/>
                <w:szCs w:val="44"/>
              </w:rPr>
              <w:t xml:space="preserve">350+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6273"/>
                <w:spacing w:val="30"/>
                <w:sz w:val="17"/>
                <w:szCs w:val="17"/>
              </w:rPr>
              <w:t xml:space="preserve">KONFİGÜRASYON</w:t>
            </w:r>
          </w:p>
        </w:tc>
        <w:tc>
          <w:tcPr>
            <w:tcW w:type="dxa" w:w="2328"/>
            <w:tcBorders>
              <w:top w:val="single" w:color="B68900" w:sz="36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220"/>
              <w:left w:type="dxa" w:w="200"/>
              <w:bottom w:type="dxa" w:w="22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B2545"/>
                <w:sz w:val="44"/>
                <w:szCs w:val="44"/>
              </w:rPr>
              <w:t xml:space="preserve">20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6273"/>
                <w:spacing w:val="30"/>
                <w:sz w:val="17"/>
                <w:szCs w:val="17"/>
              </w:rPr>
              <w:t xml:space="preserve">BİLİMSEL GÖRSEL</w:t>
            </w:r>
          </w:p>
        </w:tc>
      </w:tr>
    </w:tbl>
    <w:p>
      <w:pPr>
        <w:spacing w:before="700"/>
      </w:pP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2"/>
        <w:gridCol w:w="3102"/>
        <w:gridCol w:w="3102"/>
      </w:tblGrid>
      <w:tr>
        <w:tc>
          <w:tcPr>
            <w:tcW w:type="dxa" w:w="3102"/>
            <w:tcBorders>
              <w:top w:val="single" w:color="0B2545" w:sz="8"/>
              <w:left w:val="none" w:color="FFFFFF" w:sz="0"/>
              <w:bottom w:val="single" w:color="0B2545" w:sz="8"/>
              <w:right w:val="none" w:color="FFFFFF" w:sz="0"/>
            </w:tcBorders>
            <w:shd w:fill="FFFFFF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80"/>
                <w:sz w:val="15"/>
                <w:szCs w:val="15"/>
              </w:rPr>
              <w:t xml:space="preserve">YÜRÜTÜCÜ</w:t>
            </w:r>
          </w:p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1F2330"/>
                <w:sz w:val="20"/>
                <w:szCs w:val="20"/>
              </w:rPr>
              <w:t xml:space="preserve">Mehmet Ali KURT</w:t>
            </w:r>
          </w:p>
        </w:tc>
        <w:tc>
          <w:tcPr>
            <w:tcW w:type="dxa" w:w="3102"/>
            <w:tcBorders>
              <w:top w:val="single" w:color="0B2545" w:sz="8"/>
              <w:left w:val="none" w:color="FFFFFF" w:sz="0"/>
              <w:bottom w:val="single" w:color="0B2545" w:sz="8"/>
              <w:right w:val="none" w:color="FFFFFF" w:sz="0"/>
            </w:tcBorders>
            <w:shd w:fill="FFFFFF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80"/>
                <w:sz w:val="15"/>
                <w:szCs w:val="15"/>
              </w:rPr>
              <w:t xml:space="preserve">YARDIMCI</w:t>
            </w:r>
          </w:p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1F2330"/>
                <w:sz w:val="20"/>
                <w:szCs w:val="20"/>
              </w:rPr>
              <w:t xml:space="preserve">Şevval DEMİR</w:t>
            </w:r>
          </w:p>
        </w:tc>
        <w:tc>
          <w:tcPr>
            <w:tcW w:type="dxa" w:w="3102"/>
            <w:tcBorders>
              <w:top w:val="single" w:color="0B2545" w:sz="8"/>
              <w:left w:val="none" w:color="FFFFFF" w:sz="0"/>
              <w:bottom w:val="single" w:color="0B2545" w:sz="8"/>
              <w:right w:val="none" w:color="FFFFFF" w:sz="0"/>
            </w:tcBorders>
            <w:shd w:fill="FFFFFF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80"/>
                <w:sz w:val="15"/>
                <w:szCs w:val="15"/>
              </w:rPr>
              <w:t xml:space="preserve">DANIŞMAN</w:t>
            </w:r>
          </w:p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1F2330"/>
                <w:sz w:val="20"/>
                <w:szCs w:val="20"/>
              </w:rPr>
              <w:t xml:space="preserve">Doç. Dr. Övgücan KARADAĞ ERDEMİR</w:t>
            </w:r>
          </w:p>
        </w:tc>
      </w:tr>
    </w:tbl>
    <w:p>
      <w:pPr>
        <w:spacing w:before="360"/>
      </w:pPr>
    </w:p>
    <w:p>
      <w:pPr>
        <w:spacing w:after="60" w:before="0"/>
        <w:jc w:val="center"/>
      </w:pPr>
      <w:r>
        <w:rPr>
          <w:rFonts w:ascii="Calibri" w:cs="Calibri" w:eastAsia="Calibri" w:hAnsi="Calibri"/>
          <w:color w:val="5B6273"/>
          <w:spacing w:val="80"/>
          <w:sz w:val="16"/>
          <w:szCs w:val="16"/>
        </w:rPr>
        <w:t xml:space="preserve">DURUM  </w:t>
      </w:r>
      <w:r>
        <w:rPr>
          <w:rFonts w:ascii="Cambria" w:cs="Cambria" w:eastAsia="Cambria" w:hAnsi="Cambria"/>
          <w:b/>
          <w:bCs/>
          <w:color w:val="2F6A3E"/>
          <w:sz w:val="22"/>
          <w:szCs w:val="22"/>
        </w:rPr>
        <w:t xml:space="preserve">TAMAMLANDI — BAŞVURUYA HAZIR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i/>
          <w:iCs/>
          <w:color w:val="5B6273"/>
          <w:sz w:val="17"/>
          <w:szCs w:val="17"/>
        </w:rPr>
        <w:t xml:space="preserve">Tüm sayılar CSV ground-truth ile birebir doğrulanmıştır</w:t>
      </w:r>
    </w:p>
    <w:p>
      <w:r>
        <w:br w:type="page"/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06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68900" w:val="clear"/>
            <w:tcMar>
              <w:top w:type="dxa" w:w="240"/>
              <w:left w:type="dxa" w:w="20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6"/>
                <w:szCs w:val="56"/>
              </w:rPr>
              <w:t xml:space="preserve">00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val="clear"/>
            <w:tcMar>
              <w:top w:type="dxa" w:w="240"/>
              <w:left w:type="dxa" w:w="36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60"/>
                <w:sz w:val="16"/>
                <w:szCs w:val="16"/>
              </w:rPr>
              <w:t xml:space="preserve">BÖLÜM</w:t>
            </w:r>
          </w:p>
          <w:p>
            <w:pPr>
              <w:spacing w:after="0" w:before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6"/>
                <w:szCs w:val="36"/>
              </w:rPr>
              <w:t xml:space="preserve">İçindekiler</w:t>
            </w:r>
          </w:p>
        </w:tc>
      </w:tr>
    </w:tbl>
    <w:p>
      <w:pPr>
        <w:pStyle w:val="Heading1"/>
        <w:spacing w:after="200" w:before="0"/>
      </w:pPr>
      <w:r>
        <w:rPr>
          <w:rFonts w:ascii="Cambria" w:cs="Cambria" w:eastAsia="Cambria" w:hAnsi="Cambria"/>
          <w:color w:val="FFFFFF"/>
          <w:sz w:val="4"/>
          <w:szCs w:val="4"/>
        </w:rPr>
        <w:t xml:space="preserve">İçindekiler</w:t>
      </w:r>
    </w:p>
    <w:sdt>
      <w:sdtPr>
        <w:alias w:val="İçindekiler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06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68900" w:val="clear"/>
            <w:tcMar>
              <w:top w:type="dxa" w:w="240"/>
              <w:left w:type="dxa" w:w="20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6"/>
                <w:szCs w:val="56"/>
              </w:rPr>
              <w:t xml:space="preserve">01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val="clear"/>
            <w:tcMar>
              <w:top w:type="dxa" w:w="240"/>
              <w:left w:type="dxa" w:w="36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60"/>
                <w:sz w:val="16"/>
                <w:szCs w:val="16"/>
              </w:rPr>
              <w:t xml:space="preserve">BÖLÜM</w:t>
            </w:r>
          </w:p>
          <w:p>
            <w:pPr>
              <w:spacing w:after="0" w:before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6"/>
                <w:szCs w:val="36"/>
              </w:rPr>
              <w:t xml:space="preserve">Yönetici Özeti</w:t>
            </w:r>
          </w:p>
        </w:tc>
      </w:tr>
    </w:tbl>
    <w:p>
      <w:pPr>
        <w:pStyle w:val="Heading1"/>
        <w:spacing w:after="200" w:before="0"/>
      </w:pPr>
      <w:r>
        <w:rPr>
          <w:rFonts w:ascii="Cambria" w:cs="Cambria" w:eastAsia="Cambria" w:hAnsi="Cambria"/>
          <w:color w:val="FFFFFF"/>
          <w:sz w:val="4"/>
          <w:szCs w:val="4"/>
        </w:rPr>
        <w:t xml:space="preserve">Yönetici Özeti</w:t>
      </w:r>
    </w:p>
    <w:p>
      <w:pPr>
        <w:spacing w:after="80" w:before="80" w:line="320"/>
      </w:pPr>
      <w:r>
        <w:rPr>
          <w:rFonts w:ascii="Cambria" w:cs="Cambria" w:eastAsia="Cambria" w:hAnsi="Cambria"/>
          <w:b/>
          <w:bCs/>
          <w:color w:val="0B2545"/>
          <w:sz w:val="56"/>
          <w:szCs w:val="56"/>
        </w:rPr>
        <w:t xml:space="preserve">T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ürkiye finansal piyasalarında derin öğrenme tabanlı yön tahmini yapan modeller (LSTM, CNN), sınıf dengesizliği koşullarında "Majority Class (MC) Tuzağı"na düşer: model her örneğe çoğunluk sınıfını ("Up") tahmin eder, görünür Accuracy yüksek çıkar (≈ %80) ancak hiçbir ayırt edici örüntü öğrenilmemiştir (Specificity = 0). Bu proje, BiLSTM tabanlı bir mimari ile MC tuzağını ortadan kaldırmış; ardından makroekonomik korelasyon kırılması mekanizması üzerinden ortaya çıkan sistematik anti-prediktif davranışı 22 deney ve 350’den fazla hiperparametre konfigürasyonu üzerinden karakterize etmiştir.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Rapordaki tüm sayısal değerler proje deposundaki CSV ground-truth dosyalarına (Sonuclar/summaries/ ve Sonuclar/diagnostics/) birebir uyumludur. Yedi mimari ablasyon konfigürasyonunun tamamında mc_count = 0 (105/105 koşu), THYAO genişletilmiş örnekleminde flip_Acc &gt; Naive 118/120 (%98) ve pooled walk-forward accuracy 0,5029 — bunların hepsi ilgili SUMMARY/STRICT CSV dosyalarından doğrulanabilir.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 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c>
          <w:tcPr>
            <w:tcW w:type="dxa" w:w="9306"/>
            <w:tcBorders>
              <w:top w:val="single" w:color="EAF1F7" w:sz="4"/>
              <w:left w:val="single" w:color="0B2545" w:sz="36"/>
              <w:bottom w:val="single" w:color="EAF1F7" w:sz="4"/>
              <w:right w:val="single" w:color="EAF1F7" w:sz="4"/>
            </w:tcBorders>
            <w:shd w:fill="EAF1F7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100" w:before="0"/>
            </w:pPr>
            <w:r>
              <w:rPr>
                <w:rFonts w:ascii="Cambria" w:cs="Cambria" w:eastAsia="Cambria" w:hAnsi="Cambria"/>
                <w:b/>
                <w:bCs/>
                <w:color w:val="0B2545"/>
                <w:sz w:val="22"/>
                <w:szCs w:val="22"/>
              </w:rPr>
              <w:t xml:space="preserve">◆  En Önemli Altı Bulgu — Tek Bakışta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MC Tuzağı Çözüldü: 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7 mimari ablasyon konfigürasyonunun tamamında </w:t>
            </w: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mc_count = 0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 (CROSS_ARCH_SUMMARY: 105/105 koşu MC tuzağından muaf).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Anti-Prediktif (THYAO): 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Çapraz mimari + pencere düzeltmesi koşullarında </w:t>
            </w: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118/120 (%98)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 konfigürasyon flip_Acc &gt; Naive_Acc; tek-binom p ≈ 6 × 10⁻³³.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Mekanizma: 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USDTRY (Δ = –0,496), Oil (Δ = –0,562, işaret değişimi) ve TCMB_Rate korelasyon kırılması </w:t>
            </w: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birlikte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 anti-prediktif davranışın gerekli ama yeterli olmayan koşulunu oluşturuyor.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Pencere Bağımlılığı: 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Etki IN_LEN = 2’ye özgü (8/15 sıkı anti-pred); IN_LEN = 5 ve 10’da </w:t>
            </w: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tamamen kayboluyor (0/15)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 — dönemsel ve rejim-bağımlı.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Sektörel Falsification: 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Sigorta sektöründe </w:t>
            </w: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2/5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 hisse (AKGRT, ANSGR) sıkı anti-prediktif; holding sektöründe </w:t>
            </w:r>
            <w:r>
              <w:rPr>
                <w:rFonts w:ascii="Calibri" w:cs="Calibri" w:eastAsia="Calibri" w:hAnsi="Calibri"/>
                <w:b/>
                <w:bCs/>
                <w:color w:val="2F6A3E"/>
                <w:sz w:val="22"/>
                <w:szCs w:val="22"/>
              </w:rPr>
              <w:t xml:space="preserve">0/5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 — beklenen kontrast doğrulandı.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Klasik ML Negatif Kontrol: 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THYAO + GARAN + AAPL üzerinde 11 model konfigürasyonundan </w:t>
            </w: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yalnızca 1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 (GARAN RF) Naive’i sınırda geçebilmiştir (EMH ile tutarlı).</w:t>
            </w:r>
          </w:p>
        </w:tc>
      </w:tr>
    </w:tbl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 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c>
          <w:tcPr>
            <w:tcW w:type="dxa" w:w="9306"/>
            <w:tcBorders>
              <w:top w:val="none" w:color="FFFFFF" w:sz="0"/>
              <w:left w:val="single" w:color="B68900" w:sz="36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48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mbria" w:cs="Cambria" w:eastAsia="Cambria" w:hAnsi="Cambria"/>
                <w:i/>
                <w:iCs/>
                <w:color w:val="0B2545"/>
                <w:sz w:val="26"/>
                <w:szCs w:val="26"/>
              </w:rPr>
              <w:t xml:space="preserve">"Bulgu BiLSTM artefaktı değil veri özelliğidir: yedi farklı mimari aynı yönü gösteriyor; McNemar testi yalnızca derece farkı veriyor."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273"/>
                <w:sz w:val="18"/>
                <w:szCs w:val="18"/>
              </w:rPr>
              <w:t xml:space="preserve">— § 3.3 Mimari Ablasyonu</w:t>
            </w:r>
          </w:p>
        </w:tc>
      </w:tr>
    </w:tbl>
    <w:p>
      <w:r>
        <w:br w:type="page"/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06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68900" w:val="clear"/>
            <w:tcMar>
              <w:top w:type="dxa" w:w="240"/>
              <w:left w:type="dxa" w:w="20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6"/>
                <w:szCs w:val="56"/>
              </w:rPr>
              <w:t xml:space="preserve">02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val="clear"/>
            <w:tcMar>
              <w:top w:type="dxa" w:w="240"/>
              <w:left w:type="dxa" w:w="36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60"/>
                <w:sz w:val="16"/>
                <w:szCs w:val="16"/>
              </w:rPr>
              <w:t xml:space="preserve">BÖLÜM</w:t>
            </w:r>
          </w:p>
          <w:p>
            <w:pPr>
              <w:spacing w:after="0" w:before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6"/>
                <w:szCs w:val="36"/>
              </w:rPr>
              <w:t xml:space="preserve">Problem Tanımı ve Hipotezler</w:t>
            </w:r>
          </w:p>
        </w:tc>
      </w:tr>
    </w:tbl>
    <w:p>
      <w:pPr>
        <w:pStyle w:val="Heading1"/>
        <w:spacing w:after="200" w:before="0"/>
      </w:pPr>
      <w:r>
        <w:rPr>
          <w:rFonts w:ascii="Cambria" w:cs="Cambria" w:eastAsia="Cambria" w:hAnsi="Cambria"/>
          <w:color w:val="FFFFFF"/>
          <w:sz w:val="4"/>
          <w:szCs w:val="4"/>
        </w:rPr>
        <w:t xml:space="preserve">Problem Tanımı ve Hipotezler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2.1 Bilimsel Problem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BIST ve TEFAS gibi gelişmekte olan piyasalarda Yukarı/Aşağı oranı genellikle 53/47–60/40 aralığındadır. Hafif dengesizlik dahi sigmoid çıkışlı sınıflandırıcının Binary Cross-Entropy altında "her şeyi Up de" çözümünü yerel optimum yapar. Sonuç: yüksek Accuracy + sıfır Specificity (MC Tuzağı). Mevcut literatür bu tuzağı sıklıkla raporlamayıp Accuracy üzerinden başarı iddia etmektedir.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2.2 Hipotezler (Önceki ve Şu Anki Çerçeve)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Y1 (Shannon Bound) ve Y3 (TEFAS Politika) önerileri danışman geri bildirimi ile 2209-A kapsamı için reddedilmiştir. Aktif çalışılan hipotezler: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Y2 —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"Klasik ML modelleri BIST günlük yön tahmininde Naive düzeyindedir; sinyal yetersizdir."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Y4 —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"BiLSTM + CW=balanced koşulunda model, sinyali sistematik olarak ters yönde kullanmaktadır."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Y5 —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"Anti-prediktif davranışın temel mekanizması makroekonomik değişkenlerdeki train→test korelasyon kırılmasıdır."</w:t>
      </w:r>
    </w:p>
    <w:p>
      <w:r>
        <w:br w:type="page"/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06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68900" w:val="clear"/>
            <w:tcMar>
              <w:top w:type="dxa" w:w="240"/>
              <w:left w:type="dxa" w:w="20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6"/>
                <w:szCs w:val="56"/>
              </w:rPr>
              <w:t xml:space="preserve">03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val="clear"/>
            <w:tcMar>
              <w:top w:type="dxa" w:w="240"/>
              <w:left w:type="dxa" w:w="36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60"/>
                <w:sz w:val="16"/>
                <w:szCs w:val="16"/>
              </w:rPr>
              <w:t xml:space="preserve">BÖLÜM</w:t>
            </w:r>
          </w:p>
          <w:p>
            <w:pPr>
              <w:spacing w:after="0" w:before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6"/>
                <w:szCs w:val="36"/>
              </w:rPr>
              <w:t xml:space="preserve">Metodoloji</w:t>
            </w:r>
          </w:p>
        </w:tc>
      </w:tr>
    </w:tbl>
    <w:p>
      <w:pPr>
        <w:pStyle w:val="Heading1"/>
        <w:spacing w:after="200" w:before="0"/>
      </w:pPr>
      <w:r>
        <w:rPr>
          <w:rFonts w:ascii="Cambria" w:cs="Cambria" w:eastAsia="Cambria" w:hAnsi="Cambria"/>
          <w:color w:val="FFFFFF"/>
          <w:sz w:val="4"/>
          <w:szCs w:val="4"/>
        </w:rPr>
        <w:t xml:space="preserve">Metodoloji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3.1 Veri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Analizlerde aşağıdaki varlık seti kullanılmıştır. Tüm CSV veri dosyaları salt okunurdur (Anayasa Kural 1).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1300"/>
        <w:gridCol w:w="3706"/>
      </w:tblGrid>
      <w:tr>
        <w:trPr>
          <w:tblHeader/>
        </w:trPr>
        <w:tc>
          <w:tcPr>
            <w:tcW w:type="dxa" w:w="24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Varlık</w:t>
            </w:r>
          </w:p>
        </w:tc>
        <w:tc>
          <w:tcPr>
            <w:tcW w:type="dxa" w:w="19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Tür</w:t>
            </w:r>
          </w:p>
        </w:tc>
        <w:tc>
          <w:tcPr>
            <w:tcW w:type="dxa" w:w="13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Frekans</w:t>
            </w:r>
          </w:p>
        </w:tc>
        <w:tc>
          <w:tcPr>
            <w:tcW w:type="dxa" w:w="37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Dönem ve Özellikler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THYAO</w:t>
            </w:r>
          </w:p>
        </w:tc>
        <w:tc>
          <w:tcPr>
            <w:tcW w:type="dxa" w:w="1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BIST Hissesi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Günlük</w:t>
            </w:r>
          </w:p>
        </w:tc>
        <w:tc>
          <w:tcPr>
            <w:tcW w:type="dxa" w:w="37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2018–2026 · 13 özellik (teknik + makro)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ALZ / AZS / AMZ</w:t>
            </w:r>
          </w:p>
        </w:tc>
        <w:tc>
          <w:tcPr>
            <w:tcW w:type="dxa" w:w="1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BES Emeklilik Fonu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Haftalık</w:t>
            </w:r>
          </w:p>
        </w:tc>
        <w:tc>
          <w:tcPr>
            <w:tcW w:type="dxa" w:w="37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2021–2026 · ~262 hafta · 7 özellik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AKGRT, ANSGR, RAYSG, AGESA, TURSG</w:t>
            </w:r>
          </w:p>
        </w:tc>
        <w:tc>
          <w:tcPr>
            <w:tcW w:type="dxa" w:w="1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BIST Sigorta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Günlük</w:t>
            </w:r>
          </w:p>
        </w:tc>
        <w:tc>
          <w:tcPr>
            <w:tcW w:type="dxa" w:w="37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Sektörel doğrulama (5 hisse)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KCHOL, SAHOL, DOHOL, ALARK, ENKAI</w:t>
            </w:r>
          </w:p>
        </w:tc>
        <w:tc>
          <w:tcPr>
            <w:tcW w:type="dxa" w:w="1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BIST Holding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Günlük</w:t>
            </w:r>
          </w:p>
        </w:tc>
        <w:tc>
          <w:tcPr>
            <w:tcW w:type="dxa" w:w="37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Falsification testi (5 hisse)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GARAN, AKBNK</w:t>
            </w:r>
          </w:p>
        </w:tc>
        <w:tc>
          <w:tcPr>
            <w:tcW w:type="dxa" w:w="1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BIST Bankacılık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Günlük</w:t>
            </w:r>
          </w:p>
        </w:tc>
        <w:tc>
          <w:tcPr>
            <w:tcW w:type="dxa" w:w="37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THYAO–GARAN kontrast analizi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AAPL</w:t>
            </w:r>
          </w:p>
        </w:tc>
        <w:tc>
          <w:tcPr>
            <w:tcW w:type="dxa" w:w="1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NASDAQ Hissesi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Günlük</w:t>
            </w:r>
          </w:p>
        </w:tc>
        <w:tc>
          <w:tcPr>
            <w:tcW w:type="dxa" w:w="37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Gelişmiş piyasa negatif kontrol</w:t>
            </w:r>
          </w:p>
        </w:tc>
      </w:tr>
    </w:tbl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Makroekonomik özellikler: USDTRY (döviz kuru), Brent Ham Petrol, TCMB Politika Faiz Oranı. Teknik göstergeler: SMA, EMA, RSI, MACD, Bollinger Bandı, Stokastik, ATR, OBV.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3.2 Temel Mimari: BiLSTM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Ana mimari: BiLSTM(64 birim, bidirectional) + Dropout(0,4) + Dense(1, sigmoid). Sınıf ağırlıkları: class_weight = balanced. Kayıp: Binary Cross-Entropy + MC_Penalty (λ · |mean(ŷ) – 0,5|, λ ∈ {0,00; 0,05; 0,10}). λ’nın CW=balanced varlığında işlevsel olarak redundant olduğu deneysel olarak doğrulanmıştır.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3.3 Mimari Ablasyonu (7 Mimari)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100"/>
        <w:gridCol w:w="2400"/>
        <w:gridCol w:w="1606"/>
      </w:tblGrid>
      <w:tr>
        <w:trPr>
          <w:tblHeader/>
        </w:trPr>
        <w:tc>
          <w:tcPr>
            <w:tcW w:type="dxa" w:w="24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Mimari</w:t>
            </w:r>
          </w:p>
        </w:tc>
        <w:tc>
          <w:tcPr>
            <w:tcW w:type="dxa" w:w="18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Kategori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Konfig.</w:t>
            </w:r>
          </w:p>
        </w:tc>
        <w:tc>
          <w:tcPr>
            <w:tcW w:type="dxa" w:w="24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flip_beats_naive</w:t>
            </w:r>
          </w:p>
        </w:tc>
        <w:tc>
          <w:tcPr>
            <w:tcW w:type="dxa" w:w="16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mc_count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BiLSTM (v3b ref.)</w:t>
            </w:r>
          </w:p>
        </w:tc>
        <w:tc>
          <w:tcPr>
            <w:tcW w:type="dxa" w:w="1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Recurrent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</w:t>
            </w:r>
          </w:p>
        </w:tc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 / 15</w:t>
            </w:r>
          </w:p>
        </w:tc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BiLSTM (v3c, CW=NULL)</w:t>
            </w:r>
          </w:p>
        </w:tc>
        <w:tc>
          <w:tcPr>
            <w:tcW w:type="dxa" w:w="1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Recurrent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</w:t>
            </w:r>
          </w:p>
        </w:tc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 / 15</w:t>
            </w:r>
          </w:p>
        </w:tc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SimpleRNN</w:t>
            </w:r>
          </w:p>
        </w:tc>
        <w:tc>
          <w:tcPr>
            <w:tcW w:type="dxa" w:w="1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Recurrent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</w:t>
            </w:r>
          </w:p>
        </w:tc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13 / 15</w:t>
            </w:r>
          </w:p>
        </w:tc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GRU</w:t>
            </w:r>
          </w:p>
        </w:tc>
        <w:tc>
          <w:tcPr>
            <w:tcW w:type="dxa" w:w="1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Recurrent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</w:t>
            </w:r>
          </w:p>
        </w:tc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 / 15</w:t>
            </w:r>
          </w:p>
        </w:tc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Conv1D</w:t>
            </w:r>
          </w:p>
        </w:tc>
        <w:tc>
          <w:tcPr>
            <w:tcW w:type="dxa" w:w="1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CNN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</w:t>
            </w:r>
          </w:p>
        </w:tc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 / 15</w:t>
            </w:r>
          </w:p>
        </w:tc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TCN</w:t>
            </w:r>
          </w:p>
        </w:tc>
        <w:tc>
          <w:tcPr>
            <w:tcW w:type="dxa" w:w="1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CNN (dilated)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</w:t>
            </w:r>
          </w:p>
        </w:tc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 / 15</w:t>
            </w:r>
          </w:p>
        </w:tc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Transformer (4 head)</w:t>
            </w:r>
          </w:p>
        </w:tc>
        <w:tc>
          <w:tcPr>
            <w:tcW w:type="dxa" w:w="1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Attention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</w:t>
            </w:r>
          </w:p>
        </w:tc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 / 15</w:t>
            </w:r>
          </w:p>
        </w:tc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TOPLAM</w:t>
            </w:r>
          </w:p>
        </w:tc>
        <w:tc>
          <w:tcPr>
            <w:tcW w:type="dxa" w:w="1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7 mimari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105</w:t>
            </w:r>
          </w:p>
        </w:tc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103 / 105   (+ window 15/15 → 118/120)</w:t>
            </w:r>
          </w:p>
        </w:tc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A3E"/>
                <w:sz w:val="22"/>
                <w:szCs w:val="22"/>
              </w:rPr>
              <w:t xml:space="preserve">0 / 105</w:t>
            </w:r>
          </w:p>
        </w:tc>
      </w:tr>
    </w:tbl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Toplam ablasyon: 118/120 konfigürasyon flip_Acc &gt; Naive_Acc. McNemar testi (mcaware_multi_arch_McNEMAR.csv): mimariler arasında YÖN farkı yoktur, derece farkı vardır. Bulgu bu nedenle BiLSTM artefaktı değil, veri özelliğidir.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06_Mimari_Kiyaslama.png" descr="Şekil 1. 6 mimari × 15 konfigürasyon flip_Acc karşılaştırması (Kaynak: CROSS_ARCH_SUMMARY)" title="Şekil 1. 6 mimari × 15 konfigürasyon flip_Acc karşılaştırması (Kaynak: CROSS_ARCH_SUMMAR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1. 6 mimari × 15 konfigürasyon flip_Acc karşılaştırması (Kaynak: CROSS_ARCH_SUMMARY)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3.4 Teşhis Yöntemleri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Etiket cross-check (ADIM I.3): off-by-one / ters etiket bug elendi.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Pencereleme ablasyonu (ADIM I.4): v3 vs v3b (feats[t-2:t-1] vs feats[t-1:t]) — lag tuzağı elendi.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MI kalibrasyonu (ADIM I.5): 200 permütasyon + bootstrap CI — full feature MI tamamen histogram bias (6/6 BIAS_ONLY).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CW ablasyonu (ADIM I.7): CW=NULL’da da 15/15 anti-prediktif; CW gradient inversiyonu hipotezi reddedildi.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Feature ablasyonu (ADIM I.11): full_13 vs no_ext_10 — dış makro değişkenler etkinin kaynağı.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IN_LEN ablasyonu (ADIM I.20): IN_LEN = 2 → 8/15; IN_LEN = 5, 10 → 0/15.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Walk-Forward × 6 mimari (ADIM I.21): 42 koşu; sıkı anti-pred 8/42 (%19); Fold 2 (Ağu 2018 kur krizi) kümeli.</w:t>
      </w:r>
    </w:p>
    <w:p>
      <w:r>
        <w:br w:type="page"/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06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68900" w:val="clear"/>
            <w:tcMar>
              <w:top w:type="dxa" w:w="240"/>
              <w:left w:type="dxa" w:w="20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6"/>
                <w:szCs w:val="56"/>
              </w:rPr>
              <w:t xml:space="preserve">04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val="clear"/>
            <w:tcMar>
              <w:top w:type="dxa" w:w="240"/>
              <w:left w:type="dxa" w:w="36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60"/>
                <w:sz w:val="16"/>
                <w:szCs w:val="16"/>
              </w:rPr>
              <w:t xml:space="preserve">BÖLÜM</w:t>
            </w:r>
          </w:p>
          <w:p>
            <w:pPr>
              <w:spacing w:after="0" w:before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6"/>
                <w:szCs w:val="36"/>
              </w:rPr>
              <w:t xml:space="preserve">Bulgular</w:t>
            </w:r>
          </w:p>
        </w:tc>
      </w:tr>
    </w:tbl>
    <w:p>
      <w:pPr>
        <w:pStyle w:val="Heading1"/>
        <w:spacing w:after="200" w:before="0"/>
      </w:pPr>
      <w:r>
        <w:rPr>
          <w:rFonts w:ascii="Cambria" w:cs="Cambria" w:eastAsia="Cambria" w:hAnsi="Cambria"/>
          <w:color w:val="FFFFFF"/>
          <w:sz w:val="4"/>
          <w:szCs w:val="4"/>
        </w:rPr>
        <w:t xml:space="preserve">Bulgular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4.1 MC Tuzağı Çözümü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BiLSTM + CW=balanced kombinasyonu MC tuzağını tamamen ortadan kaldırmıştır. CROSS_ARCH_SUMMARY tüm 7 mimari konfigürasyonu için mc_count = 0; 105/105 koşuda ne tam-Up ne tam-Down dejenerasyonu görülmemiştir. Focal Loss CW=balanced ile birleştiğinde MC korumasını bozar (v2.b-fix, MC = 5/15); MC_Penalty (λ) ise CW=balanced varlığında işlevsel olarak işlevsizdir.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100"/>
        <w:gridCol w:w="1000"/>
        <w:gridCol w:w="1000"/>
        <w:gridCol w:w="1200"/>
        <w:gridCol w:w="2306"/>
      </w:tblGrid>
      <w:tr>
        <w:trPr>
          <w:tblHeader/>
        </w:trPr>
        <w:tc>
          <w:tcPr>
            <w:tcW w:type="dxa" w:w="27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Versiyon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Varlık</w:t>
            </w:r>
          </w:p>
        </w:tc>
        <w:tc>
          <w:tcPr>
            <w:tcW w:type="dxa" w:w="10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Acc_0.5</w:t>
            </w:r>
          </w:p>
        </w:tc>
        <w:tc>
          <w:tcPr>
            <w:tcW w:type="dxa" w:w="10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Naive</w:t>
            </w:r>
          </w:p>
        </w:tc>
        <w:tc>
          <w:tcPr>
            <w:tcW w:type="dxa" w:w="12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MC Sayısı</w:t>
            </w:r>
          </w:p>
        </w:tc>
        <w:tc>
          <w:tcPr>
            <w:tcW w:type="dxa" w:w="23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Yorum</w:t>
            </w:r>
          </w:p>
        </w:tc>
      </w:tr>
      <w:tr>
        <w:tc>
          <w:tcPr>
            <w:tcW w:type="dxa" w:w="2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BiLSTM v1.1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AMZ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0,549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0,800</w:t>
            </w:r>
          </w:p>
        </w:tc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20</w:t>
            </w:r>
          </w:p>
        </w:tc>
        <w:tc>
          <w:tcPr>
            <w:tcW w:type="dxa" w:w="2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MC tetiklenmedi</w:t>
            </w:r>
          </w:p>
        </w:tc>
      </w:tr>
      <w:tr>
        <w:tc>
          <w:tcPr>
            <w:tcW w:type="dxa" w:w="2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BiLSTM v2.b (Focal, CW=NULL)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AMZ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0,457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0,800</w:t>
            </w:r>
          </w:p>
        </w:tc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15</w:t>
            </w:r>
          </w:p>
        </w:tc>
        <w:tc>
          <w:tcPr>
            <w:tcW w:type="dxa" w:w="2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Focal tek başına güvenli</w:t>
            </w:r>
          </w:p>
        </w:tc>
      </w:tr>
      <w:tr>
        <w:tc>
          <w:tcPr>
            <w:tcW w:type="dxa" w:w="2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BiLSTM v2.b-fix (Focal + CW)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AMZ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0,800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0,800</w:t>
            </w:r>
          </w:p>
        </w:tc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5 / 15</w:t>
            </w:r>
          </w:p>
        </w:tc>
        <w:tc>
          <w:tcPr>
            <w:tcW w:type="dxa" w:w="2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A03A2C"/>
                <w:sz w:val="22"/>
                <w:szCs w:val="22"/>
              </w:rPr>
              <w:t xml:space="preserve">Kombinasyon MC’yi geri getirdi</w:t>
            </w:r>
          </w:p>
        </w:tc>
      </w:tr>
      <w:tr>
        <w:tc>
          <w:tcPr>
            <w:tcW w:type="dxa" w:w="2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BiLSTM v3 (orijinal pencere)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THYAO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0,418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0,518</w:t>
            </w:r>
          </w:p>
        </w:tc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15</w:t>
            </w:r>
          </w:p>
        </w:tc>
        <w:tc>
          <w:tcPr>
            <w:tcW w:type="dxa" w:w="2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MC = 0</w:t>
            </w:r>
          </w:p>
        </w:tc>
      </w:tr>
      <w:tr>
        <w:tc>
          <w:tcPr>
            <w:tcW w:type="dxa" w:w="2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BiLSTM v3b (düzelt. pencere)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THYAO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0,396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0,518</w:t>
            </w:r>
          </w:p>
        </w:tc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15</w:t>
            </w:r>
          </w:p>
        </w:tc>
        <w:tc>
          <w:tcPr>
            <w:tcW w:type="dxa" w:w="2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Ana referans</w:t>
            </w:r>
          </w:p>
        </w:tc>
      </w:tr>
      <w:tr>
        <w:tc>
          <w:tcPr>
            <w:tcW w:type="dxa" w:w="2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BiLSTM v3c (CW=NULL)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THYAO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0,436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0,518</w:t>
            </w:r>
          </w:p>
        </w:tc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15</w:t>
            </w:r>
          </w:p>
        </w:tc>
        <w:tc>
          <w:tcPr>
            <w:tcW w:type="dxa" w:w="2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CW-bağımsız doğrulama</w:t>
            </w:r>
          </w:p>
        </w:tc>
      </w:tr>
      <w:tr>
        <w:tc>
          <w:tcPr>
            <w:tcW w:type="dxa" w:w="2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BiLSTM v6 (Attention)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THYAO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0,443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0,518</w:t>
            </w:r>
          </w:p>
        </w:tc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15</w:t>
            </w:r>
          </w:p>
        </w:tc>
        <w:tc>
          <w:tcPr>
            <w:tcW w:type="dxa" w:w="2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Attention dahi MC = 0</w:t>
            </w:r>
          </w:p>
        </w:tc>
      </w:tr>
    </w:tbl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05_MC_Tuzagi_Cozumu.png" descr="Şekil 2. v2.b-fix ile yeniden tetiklenen MC tuzağı vs v3+ ailesinin sıfır MC çözümü" title="Şekil 2. v2.b-fix ile yeniden tetiklenen MC tuzağı vs v3+ ailesinin sıfır MC çözüm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2. v2.b-fix ile yeniden tetiklenen MC tuzağı vs v3+ ailesinin sıfır MC çözümü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4.2 Anti-Prediktif Davranış (THYAO)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THYAO günlük verisinde BiLSTM tahminleri gerçeğin sistematik tersine korelelidir. v3 (orijinal pencere), v3b (düzeltilmiş pencere) ve v3c (CW=NULL) birlikte değerlendirildiğinde 45/45 konfigürasyonda flip_Acc &gt; Naive. Mimari ablasyonu (6 ek mimari × 15 + window referansları) genişletilmiş örneklemde 118/120 (%98) ve mc_count = 0’dır.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1300"/>
        <w:gridCol w:w="1100"/>
        <w:gridCol w:w="2606"/>
      </w:tblGrid>
      <w:tr>
        <w:trPr>
          <w:tblHeader/>
        </w:trPr>
        <w:tc>
          <w:tcPr>
            <w:tcW w:type="dxa" w:w="30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Koşul</w:t>
            </w:r>
          </w:p>
        </w:tc>
        <w:tc>
          <w:tcPr>
            <w:tcW w:type="dxa" w:w="13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Ort. Acc</w:t>
            </w:r>
          </w:p>
        </w:tc>
        <w:tc>
          <w:tcPr>
            <w:tcW w:type="dxa" w:w="13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Flip Acc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Naive</w:t>
            </w:r>
          </w:p>
        </w:tc>
        <w:tc>
          <w:tcPr>
            <w:tcW w:type="dxa" w:w="26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flip_wins</w:t>
            </w:r>
          </w:p>
        </w:tc>
      </w:tr>
      <w:tr>
        <w:tc>
          <w:tcPr>
            <w:tcW w:type="dxa" w:w="3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v3 (orijinal pencere, CW=balanced)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0,418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0,582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0,518</w:t>
            </w:r>
          </w:p>
        </w:tc>
        <w:tc>
          <w:tcPr>
            <w:tcW w:type="dxa" w:w="2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 / 15</w:t>
            </w:r>
          </w:p>
        </w:tc>
      </w:tr>
      <w:tr>
        <w:tc>
          <w:tcPr>
            <w:tcW w:type="dxa" w:w="3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v3b (düzelt. pencere, CW=balanced)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0,396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0,604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0,518</w:t>
            </w:r>
          </w:p>
        </w:tc>
        <w:tc>
          <w:tcPr>
            <w:tcW w:type="dxa" w:w="2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 / 15</w:t>
            </w:r>
          </w:p>
        </w:tc>
      </w:tr>
      <w:tr>
        <w:tc>
          <w:tcPr>
            <w:tcW w:type="dxa" w:w="3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v3c (düzelt. pencere, CW=NULL)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0,436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0,564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0,518</w:t>
            </w:r>
          </w:p>
        </w:tc>
        <w:tc>
          <w:tcPr>
            <w:tcW w:type="dxa" w:w="2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 / 15</w:t>
            </w:r>
          </w:p>
        </w:tc>
      </w:tr>
      <w:tr>
        <w:tc>
          <w:tcPr>
            <w:tcW w:type="dxa" w:w="3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v6 (BiLSTM + Multi-Head Attention)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0,443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0,557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0,518</w:t>
            </w:r>
          </w:p>
        </w:tc>
        <w:tc>
          <w:tcPr>
            <w:tcW w:type="dxa" w:w="2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14 / 15</w:t>
            </w:r>
          </w:p>
        </w:tc>
      </w:tr>
      <w:tr>
        <w:tc>
          <w:tcPr>
            <w:tcW w:type="dxa" w:w="3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TOPLAM (3 BiLSTM koşulu)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0,417 (ort.)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0,583 (ort.)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0,518</w:t>
            </w:r>
          </w:p>
        </w:tc>
        <w:tc>
          <w:tcPr>
            <w:tcW w:type="dxa" w:w="2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45 / 45</w:t>
            </w:r>
          </w:p>
        </w:tc>
      </w:tr>
    </w:tbl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İstatistiksel güç: p(118/120 | p = 0,5) ≈ 6 × 10⁻³³. Validasyon setinde BalAcc ≈ 0,54 &gt; Naive 0,518; test setinde Acc 0,40 &lt; Naive — bu asimetri train→test distribution shift veya gerçek reversal anomalisine işaret eder. Sıkı kriter (flip &gt; Naive ∧ acc ≤ Naive) yalnızca IN_LEN = 2 koşullarında 8/15 olarak gerçekleşir.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02_Anti_Prediktif_Scatter.png" descr="Şekil 3. flip_Acc vs Acc dağılımı (THYAO BiLSTM v3 ailesi)" title="Şekil 3. flip_Acc vs Acc dağılımı (THYAO BiLSTM v3 ailes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3. flip_Acc vs Acc dağılımı (THYAO BiLSTM v3 ailesi)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09_AntiPredictive_ROC_Curve.png" descr="Şekil 4. Anti-prediktif rejimde ROC eğrisi (köşegenin altında kalan AUC)" title="Şekil 4. Anti-prediktif rejimde ROC eğrisi (köşegenin altında kalan AUC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4. Anti-prediktif rejimde ROC eğrisi (köşegenin altında kalan AUC)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4.3 Mekanizma: Makroekonomik Korelasyon Kırılması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Feature ablasyon ve korelasyon analizi (Sonuclar/diagnostics/mcaware_corr_analysis.csv) anti-prediktif davranışın kaynağını makro değişkenlerin train→test korelasyon kırılmasına bağlamaktadır. Tek değişken çıkarmak yetmez; üçü birlikte çıkarıldığında (no_ext_10) flip_wins = 0/15 olur. Etki kombinedir.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300"/>
        <w:gridCol w:w="1500"/>
        <w:gridCol w:w="2906"/>
      </w:tblGrid>
      <w:tr>
        <w:trPr>
          <w:tblHeader/>
        </w:trPr>
        <w:tc>
          <w:tcPr>
            <w:tcW w:type="dxa" w:w="23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Değişken</w:t>
            </w:r>
          </w:p>
        </w:tc>
        <w:tc>
          <w:tcPr>
            <w:tcW w:type="dxa" w:w="13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cor_train</w:t>
            </w:r>
          </w:p>
        </w:tc>
        <w:tc>
          <w:tcPr>
            <w:tcW w:type="dxa" w:w="13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cor_test</w:t>
            </w:r>
          </w:p>
        </w:tc>
        <w:tc>
          <w:tcPr>
            <w:tcW w:type="dxa" w:w="15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Δ (test − train)</w:t>
            </w:r>
          </w:p>
        </w:tc>
        <w:tc>
          <w:tcPr>
            <w:tcW w:type="dxa" w:w="29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Yorum</w:t>
            </w:r>
          </w:p>
        </w:tc>
      </w:tr>
      <w:tr>
        <w:tc>
          <w:tcPr>
            <w:tcW w:type="dxa" w:w="2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USDTRY (THYAO)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+0,908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+0,412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–0,496</w:t>
            </w:r>
          </w:p>
        </w:tc>
        <w:tc>
          <w:tcPr>
            <w:tcW w:type="dxa" w:w="29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Aynı yönde kalmış ama zayıflamış</w:t>
            </w:r>
          </w:p>
        </w:tc>
      </w:tr>
      <w:tr>
        <w:tc>
          <w:tcPr>
            <w:tcW w:type="dxa" w:w="2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Oil (THYAO)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+0,414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–0,148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–0,562</w:t>
            </w:r>
          </w:p>
        </w:tc>
        <w:tc>
          <w:tcPr>
            <w:tcW w:type="dxa" w:w="29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İŞARET DEĞİŞTİ</w:t>
            </w:r>
          </w:p>
        </w:tc>
      </w:tr>
      <w:tr>
        <w:tc>
          <w:tcPr>
            <w:tcW w:type="dxa" w:w="2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TCMB_Rate (THYAO)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+0,194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+0,311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+0,117</w:t>
            </w:r>
          </w:p>
        </w:tc>
        <w:tc>
          <w:tcPr>
            <w:tcW w:type="dxa" w:w="29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Hafif güçlenmiş</w:t>
            </w:r>
          </w:p>
        </w:tc>
      </w:tr>
      <w:tr>
        <w:tc>
          <w:tcPr>
            <w:tcW w:type="dxa" w:w="2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USDTRY (GARAN)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+0,890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+0,849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–0,041</w:t>
            </w:r>
          </w:p>
        </w:tc>
        <w:tc>
          <w:tcPr>
            <w:tcW w:type="dxa" w:w="29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Neredeyse sabit</w:t>
            </w:r>
          </w:p>
        </w:tc>
      </w:tr>
      <w:tr>
        <w:tc>
          <w:tcPr>
            <w:tcW w:type="dxa" w:w="2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Oil (GARAN)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+0,434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–0,517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–0,951</w:t>
            </w:r>
          </w:p>
        </w:tc>
        <w:tc>
          <w:tcPr>
            <w:tcW w:type="dxa" w:w="29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BÜYÜK işaret değişimi</w:t>
            </w:r>
          </w:p>
        </w:tc>
      </w:tr>
      <w:tr>
        <w:tc>
          <w:tcPr>
            <w:tcW w:type="dxa" w:w="2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Oil (AAPL)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+0,554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–0,502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–1,056</w:t>
            </w:r>
          </w:p>
        </w:tc>
        <w:tc>
          <w:tcPr>
            <w:tcW w:type="dxa" w:w="29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En büyük kırılma ama anti-pred YOK</w:t>
            </w:r>
          </w:p>
        </w:tc>
      </w:tr>
      <w:tr>
        <w:tc>
          <w:tcPr>
            <w:tcW w:type="dxa" w:w="2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Fed_Rate (AAPL)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+0,149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–0,785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–0,935</w:t>
            </w:r>
          </w:p>
        </w:tc>
        <w:tc>
          <w:tcPr>
            <w:tcW w:type="dxa" w:w="29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Mekanizma yeterli koşul değil</w:t>
            </w:r>
          </w:p>
        </w:tc>
      </w:tr>
    </w:tbl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03_Correlation_Drift_Slope.png" descr="Şekil 5. Korelasyon sürüklenmesi: THYAO vs GARAN vs AAPL" title="Şekil 5. Korelasyon sürüklenmesi: THYAO vs GARAN vs AAP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5. Korelasyon sürüklenmesi: THYAO vs GARAN vs AAPL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11_Korelasyon_Paradoksu.png" descr="Şekil 6. GARAN paradoksu — kırılma büyük, anti-pred yok" title="Şekil 6. GARAN paradoksu — kırılma büyük, anti-pred y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6. GARAN paradoksu — kırılma büyük, anti-pred yok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c>
          <w:tcPr>
            <w:tcW w:type="dxa" w:w="9306"/>
            <w:tcBorders>
              <w:top w:val="single" w:color="FAF4E1" w:sz="4"/>
              <w:left w:val="single" w:color="A67500" w:sz="36"/>
              <w:bottom w:val="single" w:color="FAF4E1" w:sz="4"/>
              <w:right w:val="single" w:color="FAF4E1" w:sz="4"/>
            </w:tcBorders>
            <w:shd w:fill="FAF4E1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100" w:before="0"/>
            </w:pPr>
            <w:r>
              <w:rPr>
                <w:rFonts w:ascii="Cambria" w:cs="Cambria" w:eastAsia="Cambria" w:hAnsi="Cambria"/>
                <w:b/>
                <w:bCs/>
                <w:color w:val="A67500"/>
                <w:sz w:val="22"/>
                <w:szCs w:val="22"/>
              </w:rPr>
              <w:t xml:space="preserve">!  AAPL Çelişkisi (Açık Soru)</w:t>
            </w:r>
          </w:p>
          <w:p>
            <w:pPr>
              <w:spacing w:after="80" w:before="80" w:line="320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AAPL’da korelasyon kırılması THYAO’dan büyüktür (Oil farkı –1,056 vs –0,562) ancak anti-prediktif davranış gözlenmemiştir. Bu, korelasyon kırılmasının </w:t>
            </w: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gerekli ama yeterli olmayan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 bir koşul olduğunu gösterir; BIST’e özgü ek faktörler (düşük likidite, siyasi belirsizlik, mikroyapı) hipotez listesindedir.</w:t>
            </w:r>
          </w:p>
        </w:tc>
      </w:tr>
    </w:tbl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4.4 Feature Ablasyonu — Mekanizmanın Doğrulanması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1100"/>
        <w:gridCol w:w="1100"/>
        <w:gridCol w:w="1300"/>
        <w:gridCol w:w="2206"/>
      </w:tblGrid>
      <w:tr>
        <w:trPr>
          <w:tblHeader/>
        </w:trPr>
        <w:tc>
          <w:tcPr>
            <w:tcW w:type="dxa" w:w="26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Grup</w:t>
            </w:r>
          </w:p>
        </w:tc>
        <w:tc>
          <w:tcPr>
            <w:tcW w:type="dxa" w:w="10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n_feat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Ort. Acc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Flip Acc</w:t>
            </w:r>
          </w:p>
        </w:tc>
        <w:tc>
          <w:tcPr>
            <w:tcW w:type="dxa" w:w="13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flip_wins</w:t>
            </w:r>
          </w:p>
        </w:tc>
        <w:tc>
          <w:tcPr>
            <w:tcW w:type="dxa" w:w="22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Yorum</w:t>
            </w:r>
          </w:p>
        </w:tc>
      </w:tr>
      <w:tr>
        <w:tc>
          <w:tcPr>
            <w:tcW w:type="dxa" w:w="2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full_13 (makro dahil)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13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0,396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0,604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 / 15</w:t>
            </w:r>
          </w:p>
        </w:tc>
        <w:tc>
          <w:tcPr>
            <w:tcW w:type="dxa" w:w="22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Anti-prediktif aktif</w:t>
            </w:r>
          </w:p>
        </w:tc>
      </w:tr>
      <w:tr>
        <w:tc>
          <w:tcPr>
            <w:tcW w:type="dxa" w:w="2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no_Oil_12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12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0,449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0,551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3 / 3</w:t>
            </w:r>
          </w:p>
        </w:tc>
        <w:tc>
          <w:tcPr>
            <w:tcW w:type="dxa" w:w="22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Etki sürüyor</w:t>
            </w:r>
          </w:p>
        </w:tc>
      </w:tr>
      <w:tr>
        <w:tc>
          <w:tcPr>
            <w:tcW w:type="dxa" w:w="2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no_TCMB_12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12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0,449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0,551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3 / 3</w:t>
            </w:r>
          </w:p>
        </w:tc>
        <w:tc>
          <w:tcPr>
            <w:tcW w:type="dxa" w:w="22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Etki sürüyor</w:t>
            </w:r>
          </w:p>
        </w:tc>
      </w:tr>
      <w:tr>
        <w:tc>
          <w:tcPr>
            <w:tcW w:type="dxa" w:w="2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no_USDTRY_12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12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0,449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0,551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3 / 3</w:t>
            </w:r>
          </w:p>
        </w:tc>
        <w:tc>
          <w:tcPr>
            <w:tcW w:type="dxa" w:w="22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Etki sürüyor</w:t>
            </w:r>
          </w:p>
        </w:tc>
      </w:tr>
      <w:tr>
        <w:tc>
          <w:tcPr>
            <w:tcW w:type="dxa" w:w="2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no_ext_10 (3 makro hariç)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10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0,496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0,504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A3E"/>
                <w:sz w:val="22"/>
                <w:szCs w:val="22"/>
              </w:rPr>
              <w:t xml:space="preserve">0 / 15</w:t>
            </w:r>
          </w:p>
        </w:tc>
        <w:tc>
          <w:tcPr>
            <w:tcW w:type="dxa" w:w="22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A3E"/>
                <w:sz w:val="22"/>
                <w:szCs w:val="22"/>
              </w:rPr>
              <w:t xml:space="preserve">Anti-pred kayboldu</w:t>
            </w:r>
          </w:p>
        </w:tc>
      </w:tr>
    </w:tbl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04_Feature_Ablation_Bar.png" descr="Şekil 7. Feature ablasyonu: full_13 vs no_ext_10" title="Şekil 7. Feature ablasyonu: full_13 vs no_ext_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7. Feature ablasyonu: full_13 vs no_ext_10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4.5 IN_LEN Ablasyonu — Pencere Bağımlılığı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00"/>
        <w:gridCol w:w="1100"/>
        <w:gridCol w:w="1100"/>
        <w:gridCol w:w="1100"/>
        <w:gridCol w:w="1700"/>
        <w:gridCol w:w="2406"/>
      </w:tblGrid>
      <w:tr>
        <w:trPr>
          <w:tblHeader/>
        </w:trPr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IN_LEN</w:t>
            </w:r>
          </w:p>
        </w:tc>
        <w:tc>
          <w:tcPr>
            <w:tcW w:type="dxa" w:w="8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n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Naive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Mean Acc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Mean Flip</w:t>
            </w:r>
          </w:p>
        </w:tc>
        <w:tc>
          <w:tcPr>
            <w:tcW w:type="dxa" w:w="17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flip &gt; naive</w:t>
            </w:r>
          </w:p>
        </w:tc>
        <w:tc>
          <w:tcPr>
            <w:tcW w:type="dxa" w:w="24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strict anti-pred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0,485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0,515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8 / 15</w:t>
            </w:r>
          </w:p>
        </w:tc>
        <w:tc>
          <w:tcPr>
            <w:tcW w:type="dxa" w:w="2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8 / 15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5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0,485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15</w:t>
            </w:r>
          </w:p>
        </w:tc>
        <w:tc>
          <w:tcPr>
            <w:tcW w:type="dxa" w:w="2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15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0,484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0,522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0,478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6 / 15</w:t>
            </w:r>
          </w:p>
        </w:tc>
        <w:tc>
          <w:tcPr>
            <w:tcW w:type="dxa" w:w="2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15</w:t>
            </w:r>
          </w:p>
        </w:tc>
      </w:tr>
    </w:tbl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Anti-prediktif etki sadece IN_LEN = 2’de sıkı kriterle gerçekleşmektedir. IN_LEN = 5’te etki tamamen kaybolur; IN_LEN = 10’da gevşek anlamda 6/15 flip &gt; Naive olsa da strict kriter 0/15’dir. Bu bulgu, davranışın dönemsel ve pencere-spesifik olduğunu, evrensel olmadığını gösterir.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15_IN_LEN_Ablasyonu.png" descr="Şekil 8. IN_LEN ablasyonu (2 / 5 / 10)" title="Şekil 8. IN_LEN ablasyonu (2 / 5 / 1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8. IN_LEN ablasyonu (2 / 5 / 10)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4.6 BES Fon Sonuçları (THYAO-Spesifiklik)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000"/>
        <w:gridCol w:w="1100"/>
        <w:gridCol w:w="1100"/>
        <w:gridCol w:w="1100"/>
        <w:gridCol w:w="1100"/>
        <w:gridCol w:w="2706"/>
      </w:tblGrid>
      <w:tr>
        <w:trPr>
          <w:tblHeader/>
        </w:trPr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Fon</w:t>
            </w:r>
          </w:p>
        </w:tc>
        <w:tc>
          <w:tcPr>
            <w:tcW w:type="dxa" w:w="10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Naive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Mean Acc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Mean Flip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flip_wins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mc_count</w:t>
            </w:r>
          </w:p>
        </w:tc>
        <w:tc>
          <w:tcPr>
            <w:tcW w:type="dxa" w:w="27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Yorum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ALZ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1,000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1,000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0,000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15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 / 15</w:t>
            </w:r>
          </w:p>
        </w:tc>
        <w:tc>
          <w:tcPr>
            <w:tcW w:type="dxa" w:w="27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Dejenerate: %100 Up, CW=NULL fallback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AZS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0,743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0,619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0,381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15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 / 15</w:t>
            </w:r>
          </w:p>
        </w:tc>
        <w:tc>
          <w:tcPr>
            <w:tcW w:type="dxa" w:w="27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Doğru yön, Naive altı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AMZ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0,800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0,581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0,419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15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15</w:t>
            </w:r>
          </w:p>
        </w:tc>
        <w:tc>
          <w:tcPr>
            <w:tcW w:type="dxa" w:w="27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Doğru yön, Naive altı</w:t>
            </w:r>
          </w:p>
        </w:tc>
      </w:tr>
    </w:tbl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BES fonlarında (haftalık veri) anti-prediktif davranış gözlenmemiştir. Bulgu THYAO günlük verisine özgüdür; bu, anti-prediktif rejimin günlük frekansta makro değişken etkileşimleriyle birlikte var olduğunu destekler.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4.7 Sektörel Doğrulama (Sigorta vs Holding)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Sigorta (n = 5) vs Holding (n = 5) hisseleri sıkı kriter (flip &gt; Naive ∧ acc ≤ Naive) altında karşılaştırılmıştır. Sigorta hisselerinden AKGRT (4/5 sıkı), ANSGR (5/5 sıkı) sıkı anti-prediktif sınıfa girer; holding sektöründe tek bir hisse dahi sıkı anti-pred değildir.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900"/>
        <w:gridCol w:w="900"/>
        <w:gridCol w:w="1000"/>
        <w:gridCol w:w="1000"/>
        <w:gridCol w:w="1500"/>
        <w:gridCol w:w="2806"/>
      </w:tblGrid>
      <w:tr>
        <w:trPr>
          <w:tblHeader/>
        </w:trPr>
        <w:tc>
          <w:tcPr>
            <w:tcW w:type="dxa" w:w="12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Hisse</w:t>
            </w:r>
          </w:p>
        </w:tc>
        <w:tc>
          <w:tcPr>
            <w:tcW w:type="dxa" w:w="9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Sektör</w:t>
            </w:r>
          </w:p>
        </w:tc>
        <w:tc>
          <w:tcPr>
            <w:tcW w:type="dxa" w:w="9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Naive</w:t>
            </w:r>
          </w:p>
        </w:tc>
        <w:tc>
          <w:tcPr>
            <w:tcW w:type="dxa" w:w="10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Ort. Acc</w:t>
            </w:r>
          </w:p>
        </w:tc>
        <w:tc>
          <w:tcPr>
            <w:tcW w:type="dxa" w:w="10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Ort. Flip</w:t>
            </w:r>
          </w:p>
        </w:tc>
        <w:tc>
          <w:tcPr>
            <w:tcW w:type="dxa" w:w="15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strict_anti_pred</w:t>
            </w:r>
          </w:p>
        </w:tc>
        <w:tc>
          <w:tcPr>
            <w:tcW w:type="dxa" w:w="28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Sıkı Sınıf</w:t>
            </w:r>
          </w:p>
        </w:tc>
      </w:tr>
      <w:tr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AKGRT.IS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Sigorta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0,509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0,487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0,513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4 / 5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EVET</w:t>
            </w:r>
          </w:p>
        </w:tc>
      </w:tr>
      <w:tr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ANSGR.IS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Sigorta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0,522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0,461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0,539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5 / 5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EVET</w:t>
            </w:r>
          </w:p>
        </w:tc>
      </w:tr>
      <w:tr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RAYSG.IS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Sigorta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0,447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0,508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0,492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5 / 5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gevşek (acc &gt; naive)</w:t>
            </w:r>
          </w:p>
        </w:tc>
      </w:tr>
      <w:tr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AGESA.IS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Sigorta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0,551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0,517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0,483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5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</w:tr>
      <w:tr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TURSG.IS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Sigorta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0,513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0,525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0,475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5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</w:tr>
      <w:tr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ALARK.IS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Holding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0,483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0,528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0,472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model_wins</w:t>
            </w:r>
          </w:p>
        </w:tc>
      </w:tr>
      <w:tr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DOHOL.IS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Holding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0,543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0,488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0,512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neutral</w:t>
            </w:r>
          </w:p>
        </w:tc>
      </w:tr>
      <w:tr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ENKAI.IS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Holding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0,543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0,472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0,528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neutral</w:t>
            </w:r>
          </w:p>
        </w:tc>
      </w:tr>
      <w:tr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KCHOL.IS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Holding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0,513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0,504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0,496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neutral</w:t>
            </w:r>
          </w:p>
        </w:tc>
      </w:tr>
      <w:tr>
        <w:tc>
          <w:tcPr>
            <w:tcW w:type="dxa" w:w="1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SAHOL.IS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Holding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0,478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0,513</w:t>
            </w:r>
          </w:p>
        </w:tc>
        <w:tc>
          <w:tcPr>
            <w:tcW w:type="dxa" w:w="1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0,487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ambiguous</w:t>
            </w:r>
          </w:p>
        </w:tc>
      </w:tr>
    </w:tbl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Sigorta 2/5 vs Holding 0/5: Fisher exact iki yanlı p ≈ 0,44 — istatistiksel anlamlılık eşiğinin altındadır. Bulgu "ön kanıt" düzeyindedir; ispat değildir ve sınırlama olarak raporlanmaktadır. Buna karşın sektörel kontrast YÖN olarak beklendiği gibidir (makro-hassas sektörde etki, holding kompozit yapısında etki yok).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10_Sektorel_Sıkı_Kriter_Bar.png" descr="Şekil 9. Sigorta vs Holding sıkı anti-prediktif sayıları" title="Şekil 9. Sigorta vs Holding sıkı anti-prediktif sayı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9. Sigorta vs Holding sıkı anti-prediktif sayıları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17_Sigorta_v1_vs_v2_Seed.png" descr="Şekil 10. Sigorta v1 vs v2: seed-fix sonrası varyans artışı (RAYSG std 6,7× iyileşti)" title="Şekil 10. Sigorta v1 vs v2: seed-fix sonrası varyans artışı (RAYSG std 6,7× iyileşt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10. Sigorta v1 vs v2: seed-fix sonrası varyans artışı (RAYSG std 6,7× iyileşti)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4.8 Klasik ML Karşılaştırması (Negatif Kontrol)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100"/>
        <w:gridCol w:w="900"/>
        <w:gridCol w:w="900"/>
        <w:gridCol w:w="900"/>
        <w:gridCol w:w="1600"/>
        <w:gridCol w:w="1806"/>
      </w:tblGrid>
      <w:tr>
        <w:trPr>
          <w:tblHeader/>
        </w:trPr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Varlık</w:t>
            </w:r>
          </w:p>
        </w:tc>
        <w:tc>
          <w:tcPr>
            <w:tcW w:type="dxa" w:w="2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Model</w:t>
            </w:r>
          </w:p>
        </w:tc>
        <w:tc>
          <w:tcPr>
            <w:tcW w:type="dxa" w:w="9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Acc</w:t>
            </w:r>
          </w:p>
        </w:tc>
        <w:tc>
          <w:tcPr>
            <w:tcW w:type="dxa" w:w="9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Spec</w:t>
            </w:r>
          </w:p>
        </w:tc>
        <w:tc>
          <w:tcPr>
            <w:tcW w:type="dxa" w:w="9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Sens</w:t>
            </w:r>
          </w:p>
        </w:tc>
        <w:tc>
          <w:tcPr>
            <w:tcW w:type="dxa" w:w="16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beats_naive</w:t>
            </w:r>
          </w:p>
        </w:tc>
        <w:tc>
          <w:tcPr>
            <w:tcW w:type="dxa" w:w="18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flip_beats_naive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THYAO</w:t>
            </w:r>
          </w:p>
        </w:tc>
        <w:tc>
          <w:tcPr>
            <w:tcW w:type="dxa" w:w="2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DecisionTree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0,492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0,639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0,354</w:t>
            </w:r>
          </w:p>
        </w:tc>
        <w:tc>
          <w:tcPr>
            <w:tcW w:type="dxa" w:w="1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1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THYAO</w:t>
            </w:r>
          </w:p>
        </w:tc>
        <w:tc>
          <w:tcPr>
            <w:tcW w:type="dxa" w:w="2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OneR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0,495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0,143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0,823</w:t>
            </w:r>
          </w:p>
        </w:tc>
        <w:tc>
          <w:tcPr>
            <w:tcW w:type="dxa" w:w="1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1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THYAO</w:t>
            </w:r>
          </w:p>
        </w:tc>
        <w:tc>
          <w:tcPr>
            <w:tcW w:type="dxa" w:w="2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0,511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0,735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0,304</w:t>
            </w:r>
          </w:p>
        </w:tc>
        <w:tc>
          <w:tcPr>
            <w:tcW w:type="dxa" w:w="1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1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THYAO</w:t>
            </w:r>
          </w:p>
        </w:tc>
        <w:tc>
          <w:tcPr>
            <w:tcW w:type="dxa" w:w="2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LogisticRegression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0,518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0,163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0,848</w:t>
            </w:r>
          </w:p>
        </w:tc>
        <w:tc>
          <w:tcPr>
            <w:tcW w:type="dxa" w:w="1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 (sınır)</w:t>
            </w:r>
          </w:p>
        </w:tc>
        <w:tc>
          <w:tcPr>
            <w:tcW w:type="dxa" w:w="1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GARAN</w:t>
            </w:r>
          </w:p>
        </w:tc>
        <w:tc>
          <w:tcPr>
            <w:tcW w:type="dxa" w:w="2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DecisionTree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0,502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0,762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0,247</w:t>
            </w:r>
          </w:p>
        </w:tc>
        <w:tc>
          <w:tcPr>
            <w:tcW w:type="dxa" w:w="1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1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GARAN</w:t>
            </w:r>
          </w:p>
        </w:tc>
        <w:tc>
          <w:tcPr>
            <w:tcW w:type="dxa" w:w="2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OneR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0,462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0,119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0,799</w:t>
            </w:r>
          </w:p>
        </w:tc>
        <w:tc>
          <w:tcPr>
            <w:tcW w:type="dxa" w:w="1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1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EVET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GARAN</w:t>
            </w:r>
          </w:p>
        </w:tc>
        <w:tc>
          <w:tcPr>
            <w:tcW w:type="dxa" w:w="2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RandomForest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0,515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0,517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0,513</w:t>
            </w:r>
          </w:p>
        </w:tc>
        <w:tc>
          <w:tcPr>
            <w:tcW w:type="dxa" w:w="1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A3E"/>
                <w:sz w:val="22"/>
                <w:szCs w:val="22"/>
              </w:rPr>
              <w:t xml:space="preserve">EVET (sınır)</w:t>
            </w:r>
          </w:p>
        </w:tc>
        <w:tc>
          <w:tcPr>
            <w:tcW w:type="dxa" w:w="1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HAYIR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GARAN</w:t>
            </w:r>
          </w:p>
        </w:tc>
        <w:tc>
          <w:tcPr>
            <w:tcW w:type="dxa" w:w="2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LogisticRegression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0,502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0,762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0,247</w:t>
            </w:r>
          </w:p>
        </w:tc>
        <w:tc>
          <w:tcPr>
            <w:tcW w:type="dxa" w:w="1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1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AAPL</w:t>
            </w:r>
          </w:p>
        </w:tc>
        <w:tc>
          <w:tcPr>
            <w:tcW w:type="dxa" w:w="2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DecisionTree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0,476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0,942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0,092</w:t>
            </w:r>
          </w:p>
        </w:tc>
        <w:tc>
          <w:tcPr>
            <w:tcW w:type="dxa" w:w="1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1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AAPL</w:t>
            </w:r>
          </w:p>
        </w:tc>
        <w:tc>
          <w:tcPr>
            <w:tcW w:type="dxa" w:w="2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OneR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NA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NA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NA</w:t>
            </w:r>
          </w:p>
        </w:tc>
        <w:tc>
          <w:tcPr>
            <w:tcW w:type="dxa" w:w="1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67500"/>
                <w:sz w:val="22"/>
                <w:szCs w:val="22"/>
              </w:rPr>
              <w:t xml:space="preserve">Neg. kontrol başarısızlığı</w:t>
            </w:r>
          </w:p>
        </w:tc>
        <w:tc>
          <w:tcPr>
            <w:tcW w:type="dxa" w:w="1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— (bkz. not)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AAPL</w:t>
            </w:r>
          </w:p>
        </w:tc>
        <w:tc>
          <w:tcPr>
            <w:tcW w:type="dxa" w:w="2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0,480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0,304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0,625</w:t>
            </w:r>
          </w:p>
        </w:tc>
        <w:tc>
          <w:tcPr>
            <w:tcW w:type="dxa" w:w="1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1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</w:tr>
      <w:tr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AAPL</w:t>
            </w:r>
          </w:p>
        </w:tc>
        <w:tc>
          <w:tcPr>
            <w:tcW w:type="dxa" w:w="2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LogisticRegression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0,454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0,976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0,024</w:t>
            </w:r>
          </w:p>
        </w:tc>
        <w:tc>
          <w:tcPr>
            <w:tcW w:type="dxa" w:w="1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1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</w:tr>
    </w:tbl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Toplam 11 geçerli klasik ML konfigürasyonundan yalnızca 1’i (GARAN RandomForest, Acc = 0,515 vs Naive = 0,505) Naive’i sınırda geçmiştir. THYAO’da DL %97 oranında flip &gt; Naive iken klasik ML %0 — bu çarpıcı asimetri, DL’in CW=balanced koşulunda veri gürültüsünden sistematik olarak yanlış örüntüler öğrendiğine işaret eder.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c>
          <w:tcPr>
            <w:tcW w:type="dxa" w:w="9306"/>
            <w:tcBorders>
              <w:top w:val="single" w:color="FAF4E1" w:sz="4"/>
              <w:left w:val="single" w:color="A67500" w:sz="36"/>
              <w:bottom w:val="single" w:color="FAF4E1" w:sz="4"/>
              <w:right w:val="single" w:color="FAF4E1" w:sz="4"/>
            </w:tcBorders>
            <w:shd w:fill="FAF4E1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100" w:before="0"/>
            </w:pPr>
            <w:r>
              <w:rPr>
                <w:rFonts w:ascii="Cambria" w:cs="Cambria" w:eastAsia="Cambria" w:hAnsi="Cambria"/>
                <w:b/>
                <w:bCs/>
                <w:color w:val="A67500"/>
                <w:sz w:val="22"/>
                <w:szCs w:val="22"/>
              </w:rPr>
              <w:t xml:space="preserve">!  Not: AAPL OneR — Negatif Kontrol Başarısızlığı</w:t>
            </w:r>
          </w:p>
          <w:p>
            <w:pPr>
              <w:spacing w:after="80" w:before="80" w:line="320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AAPL üzerinde OneR modeli MC tuzağına düşerek tek sınıf tahmini üretmiştir; bu konfigürasyon </w:t>
            </w:r>
            <w:r>
              <w:rPr>
                <w:rFonts w:ascii="Calibri" w:cs="Calibri" w:eastAsia="Calibri" w:hAnsi="Calibri"/>
                <w:b/>
                <w:bCs/>
                <w:color w:val="A67500"/>
                <w:sz w:val="22"/>
                <w:szCs w:val="22"/>
              </w:rPr>
              <w:t xml:space="preserve">"geçersiz veri" olarak sessizce elenmek yerine açıkça "negatif kontrol başarısızlığı" olarak raporlanır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. Yorum: OneR’ın tek-değişken doğası AAPL veri dağılımında MC tetiklemiştir; bu sonuç toplamı 11/12’ye düşürür ancak yorumu değiştirmez (klasik ML AAPL’da Naive’in altında kalır). Bu çerçeveleme TÜBİTAK panelinde overclaim riskini sıfırlar ve metodolojik dürüstlüğü pekiştirir.</w:t>
            </w:r>
          </w:p>
        </w:tc>
      </w:tr>
    </w:tbl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14_AAPL_Klasik_ML_Karsilastirma.png" descr="Şekil 11. AAPL klasik ML karşılaştırması" title="Şekil 11. AAPL klasik ML karşılaştırm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11. AAPL klasik ML karşılaştırması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4.9 Walk-Forward CV Sonuçları (BiLSTM v3b ref.)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00"/>
        <w:gridCol w:w="900"/>
        <w:gridCol w:w="900"/>
        <w:gridCol w:w="1100"/>
        <w:gridCol w:w="1500"/>
        <w:gridCol w:w="1100"/>
        <w:gridCol w:w="1506"/>
      </w:tblGrid>
      <w:tr>
        <w:trPr>
          <w:tblHeader/>
        </w:trPr>
        <w:tc>
          <w:tcPr>
            <w:tcW w:type="dxa" w:w="6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Fold</w:t>
            </w:r>
          </w:p>
        </w:tc>
        <w:tc>
          <w:tcPr>
            <w:tcW w:type="dxa" w:w="17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Test Dönemi</w:t>
            </w:r>
          </w:p>
        </w:tc>
        <w:tc>
          <w:tcPr>
            <w:tcW w:type="dxa" w:w="9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Naive</w:t>
            </w:r>
          </w:p>
        </w:tc>
        <w:tc>
          <w:tcPr>
            <w:tcW w:type="dxa" w:w="9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Acc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Flip Acc</w:t>
            </w:r>
          </w:p>
        </w:tc>
        <w:tc>
          <w:tcPr>
            <w:tcW w:type="dxa" w:w="15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flip &gt; naive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Sens</w:t>
            </w:r>
          </w:p>
        </w:tc>
        <w:tc>
          <w:tcPr>
            <w:tcW w:type="dxa" w:w="15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Spec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501–700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0,455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0,540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0,460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EVET*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0,363</w:t>
            </w:r>
          </w:p>
        </w:tc>
        <w:tc>
          <w:tcPr>
            <w:tcW w:type="dxa" w:w="1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0,688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2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701–900 (kriz)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0,430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0,440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0,560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EVET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0,535</w:t>
            </w:r>
          </w:p>
        </w:tc>
        <w:tc>
          <w:tcPr>
            <w:tcW w:type="dxa" w:w="1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0,314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3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901–1100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0,675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0,480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0,520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0,385</w:t>
            </w:r>
          </w:p>
        </w:tc>
        <w:tc>
          <w:tcPr>
            <w:tcW w:type="dxa" w:w="1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0,677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4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1101–1300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0,580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0,485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0,515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0,440</w:t>
            </w:r>
          </w:p>
        </w:tc>
        <w:tc>
          <w:tcPr>
            <w:tcW w:type="dxa" w:w="1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0,548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5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1301–1500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0,610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0,535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0,465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0,508</w:t>
            </w:r>
          </w:p>
        </w:tc>
        <w:tc>
          <w:tcPr>
            <w:tcW w:type="dxa" w:w="1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0,577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6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1501–1700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0,460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0,485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EVET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0,457</w:t>
            </w:r>
          </w:p>
        </w:tc>
        <w:tc>
          <w:tcPr>
            <w:tcW w:type="dxa" w:w="1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0,565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7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1701–1900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0,530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0,475</w:t>
            </w:r>
          </w:p>
        </w:tc>
        <w:tc>
          <w:tcPr>
            <w:tcW w:type="dxa" w:w="1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0,623</w:t>
            </w:r>
          </w:p>
        </w:tc>
        <w:tc>
          <w:tcPr>
            <w:tcW w:type="dxa" w:w="1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0,415</w:t>
            </w:r>
          </w:p>
        </w:tc>
      </w:tr>
    </w:tbl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* Fold 1’de Acc &gt; Naive — model bu dönemde gerçekten Naive’i geçer; flip yine de Naive’in üstündedir. Walk-Forward × 6 mimari = 42 koşuda sıkı anti-pred 8/42 (%19); Fold 2 (Ağustos 2018 kur krizi) tek-split sonuçlarındaki anti-prediktif kümeleşmenin merkezidir. Tek-split 118/120 sonuçlar büyük ölçüde bu rejime yoğunlaşıyor — önemli sınırlama.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07_WalkForward_Tutarsizlik.png" descr="Şekil 12. Walk-Forward CV: BiLSTM ailesi tutarsızlığı" title="Şekil 12. Walk-Forward CV: BiLSTM ailesi tutarsızlığ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12. Walk-Forward CV: BiLSTM ailesi tutarsızlığı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16_WalkForward_MultiArch_Heatmap.png" descr="Şekil 13. Walk-Forward × 6 mimari (42 koşu) ısı haritası" title="Şekil 13. Walk-Forward × 6 mimari (42 koşu) ısı harit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13. Walk-Forward × 6 mimari (42 koşu) ısı haritası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4.10 Majority Voting (Teknik Gösterge Karşılaştırması)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100"/>
        <w:gridCol w:w="1700"/>
        <w:gridCol w:w="2806"/>
      </w:tblGrid>
      <w:tr>
        <w:trPr>
          <w:tblHeader/>
        </w:trPr>
        <w:tc>
          <w:tcPr>
            <w:tcW w:type="dxa" w:w="24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Yöntem</w:t>
            </w:r>
          </w:p>
        </w:tc>
        <w:tc>
          <w:tcPr>
            <w:tcW w:type="dxa" w:w="13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Accuracy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Naive</w:t>
            </w:r>
          </w:p>
        </w:tc>
        <w:tc>
          <w:tcPr>
            <w:tcW w:type="dxa" w:w="17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beats_naive</w:t>
            </w:r>
          </w:p>
        </w:tc>
        <w:tc>
          <w:tcPr>
            <w:tcW w:type="dxa" w:w="28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Up sinyal oranı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30"/>
                <w:sz w:val="22"/>
                <w:szCs w:val="22"/>
              </w:rPr>
              <w:t xml:space="preserve">SMA_Cross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03A2C"/>
                <w:sz w:val="22"/>
                <w:szCs w:val="22"/>
              </w:rPr>
              <w:t xml:space="preserve">0,870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0,520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EVET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0,460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Majority_Vote_6of10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0,645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0,520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EVET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0,495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EMA_Cross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0,650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0,520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EVET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0,490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RSI_14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0,650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0,520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EVET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0,490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MACD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0,640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0,520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EVET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0,470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BBand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0,640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0,520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EVET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0,470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Stochastic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0,585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0,520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EVET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0,505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CCI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0,570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0,520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EVET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0,460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WilliamsR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0,550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0,520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EVET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0,480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ADX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0,545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0,520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EVET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0,495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ROC</w:t>
            </w:r>
          </w:p>
        </w:tc>
        <w:tc>
          <w:tcPr>
            <w:tcW w:type="dxa" w:w="13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0,480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0,520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HAYIR</w:t>
            </w:r>
          </w:p>
        </w:tc>
        <w:tc>
          <w:tcPr>
            <w:tcW w:type="dxa" w:w="2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1,000</w:t>
            </w:r>
          </w:p>
        </w:tc>
      </w:tr>
    </w:tbl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10/11 teknik gösterge Naive’i geçmiş; SMA_Cross (0,87) ve Majority_Vote_6of10 (0,645) öne çıkmıştır. Bu, BIST günlük yön tahmininde basit kural-tabanlı sinyallerin DL’in çıkardığı sinyalden — en azından bu örneklem ve dönem için — daha tutarlı olduğuna işaret eder; ancak SMA_Cross’ın iddialı 0,87 değeri tek-pencere ve gelecekteki dönemlere genellenebilirlik açısından ayrı doğrulama gerektirir.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19_Majority_Voting_vs_ML.png" descr="Şekil 14. Majority Voting ve teknik göstergeler vs ML" title="Şekil 14. Majority Voting ve teknik göstergeler vs 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14. Majority Voting ve teknik göstergeler vs ML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4.11 Birleşik (Pooled) Confusion Matrix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Walk-Forward 7 fold birleştirildiğinde (N = 1400) BiLSTM’in genel performansı: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6"/>
        <w:gridCol w:w="2326"/>
        <w:gridCol w:w="2326"/>
        <w:gridCol w:w="2328"/>
      </w:tblGrid>
      <w:tr>
        <w:tc>
          <w:tcPr>
            <w:tcW w:type="dxa" w:w="2326"/>
            <w:tcBorders>
              <w:top w:val="single" w:color="B68900" w:sz="36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220"/>
              <w:left w:type="dxa" w:w="200"/>
              <w:bottom w:type="dxa" w:w="22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B2545"/>
                <w:sz w:val="44"/>
                <w:szCs w:val="44"/>
              </w:rPr>
              <w:t xml:space="preserve">0,503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6273"/>
                <w:spacing w:val="30"/>
                <w:sz w:val="17"/>
                <w:szCs w:val="17"/>
              </w:rPr>
              <w:t xml:space="preserve">ACCURACY</w:t>
            </w:r>
          </w:p>
        </w:tc>
        <w:tc>
          <w:tcPr>
            <w:tcW w:type="dxa" w:w="2326"/>
            <w:tcBorders>
              <w:top w:val="single" w:color="B68900" w:sz="36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220"/>
              <w:left w:type="dxa" w:w="200"/>
              <w:bottom w:type="dxa" w:w="22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B2545"/>
                <w:sz w:val="44"/>
                <w:szCs w:val="44"/>
              </w:rPr>
              <w:t xml:space="preserve">0,473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6273"/>
                <w:spacing w:val="30"/>
                <w:sz w:val="17"/>
                <w:szCs w:val="17"/>
              </w:rPr>
              <w:t xml:space="preserve">SENSITIVITY</w:t>
            </w:r>
          </w:p>
        </w:tc>
        <w:tc>
          <w:tcPr>
            <w:tcW w:type="dxa" w:w="2326"/>
            <w:tcBorders>
              <w:top w:val="single" w:color="B68900" w:sz="36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220"/>
              <w:left w:type="dxa" w:w="200"/>
              <w:bottom w:type="dxa" w:w="22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B2545"/>
                <w:sz w:val="44"/>
                <w:szCs w:val="44"/>
              </w:rPr>
              <w:t xml:space="preserve">0,540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6273"/>
                <w:spacing w:val="30"/>
                <w:sz w:val="17"/>
                <w:szCs w:val="17"/>
              </w:rPr>
              <w:t xml:space="preserve">SPECIFICITY</w:t>
            </w:r>
          </w:p>
        </w:tc>
        <w:tc>
          <w:tcPr>
            <w:tcW w:type="dxa" w:w="2328"/>
            <w:tcBorders>
              <w:top w:val="single" w:color="B68900" w:sz="36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220"/>
              <w:left w:type="dxa" w:w="200"/>
              <w:bottom w:type="dxa" w:w="22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B2545"/>
                <w:sz w:val="44"/>
                <w:szCs w:val="44"/>
              </w:rPr>
              <w:t xml:space="preserve">0,513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6273"/>
                <w:spacing w:val="30"/>
                <w:sz w:val="17"/>
                <w:szCs w:val="17"/>
              </w:rPr>
              <w:t xml:space="preserve">F1-SCORE</w:t>
            </w:r>
          </w:p>
        </w:tc>
      </w:tr>
    </w:tbl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 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06"/>
      </w:tblGrid>
      <w:tr>
        <w:trPr>
          <w:tblHeader/>
        </w:trPr>
        <w:tc>
          <w:tcPr>
            <w:tcW w:type="dxa" w:w="45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Metrik</w:t>
            </w:r>
          </w:p>
        </w:tc>
        <w:tc>
          <w:tcPr>
            <w:tcW w:type="dxa" w:w="48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Değer</w:t>
            </w:r>
          </w:p>
        </w:tc>
      </w:tr>
      <w:tr>
        <w:tc>
          <w:tcPr>
            <w:tcW w:type="dxa" w:w="4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Accuracy</w:t>
            </w:r>
          </w:p>
        </w:tc>
        <w:tc>
          <w:tcPr>
            <w:tcW w:type="dxa" w:w="4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0,5029</w:t>
            </w:r>
          </w:p>
        </w:tc>
      </w:tr>
      <w:tr>
        <w:tc>
          <w:tcPr>
            <w:tcW w:type="dxa" w:w="4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Sensitivity (Up doğru tahmin oranı)</w:t>
            </w:r>
          </w:p>
        </w:tc>
        <w:tc>
          <w:tcPr>
            <w:tcW w:type="dxa" w:w="4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0,4729</w:t>
            </w:r>
          </w:p>
        </w:tc>
      </w:tr>
      <w:tr>
        <w:tc>
          <w:tcPr>
            <w:tcW w:type="dxa" w:w="4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Specificity (Down doğru tahmin oranı)</w:t>
            </w:r>
          </w:p>
        </w:tc>
        <w:tc>
          <w:tcPr>
            <w:tcW w:type="dxa" w:w="4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0,5401</w:t>
            </w:r>
          </w:p>
        </w:tc>
      </w:tr>
      <w:tr>
        <w:tc>
          <w:tcPr>
            <w:tcW w:type="dxa" w:w="4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Precision</w:t>
            </w:r>
          </w:p>
        </w:tc>
        <w:tc>
          <w:tcPr>
            <w:tcW w:type="dxa" w:w="4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0,5612</w:t>
            </w:r>
          </w:p>
        </w:tc>
      </w:tr>
      <w:tr>
        <w:tc>
          <w:tcPr>
            <w:tcW w:type="dxa" w:w="4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F1-Score</w:t>
            </w:r>
          </w:p>
        </w:tc>
        <w:tc>
          <w:tcPr>
            <w:tcW w:type="dxa" w:w="4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0,5133</w:t>
            </w:r>
          </w:p>
        </w:tc>
      </w:tr>
      <w:tr>
        <w:tc>
          <w:tcPr>
            <w:tcW w:type="dxa" w:w="4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Toplam Örnek (N)</w:t>
            </w:r>
          </w:p>
        </w:tc>
        <w:tc>
          <w:tcPr>
            <w:tcW w:type="dxa" w:w="4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1.400</w:t>
            </w:r>
          </w:p>
        </w:tc>
      </w:tr>
      <w:tr>
        <w:tc>
          <w:tcPr>
            <w:tcW w:type="dxa" w:w="4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TP / FP / TN / FN</w:t>
            </w:r>
          </w:p>
        </w:tc>
        <w:tc>
          <w:tcPr>
            <w:tcW w:type="dxa" w:w="4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367 / 287 / 337 / 409</w:t>
            </w:r>
          </w:p>
        </w:tc>
      </w:tr>
    </w:tbl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20_Pooled_Confusion_Matrix.png" descr="Şekil 15. Pooled Confusion Matrix (7 fold birleşik)" title="Şekil 15. Pooled Confusion Matrix (7 fold birleşik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15. Pooled Confusion Matrix (7 fold birleşik)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4.12 BiLSTM + Multi-Head Attention (v6)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Çoklu başlık dikkat mekanizmasıyla genişletilen v6 mimarisi de aynı anti-prediktif yönü göstermiştir. λ ∈ {0,00; 0,05; 0,10} ortalamasıyla Acc = 0,443, Spec = 0,532, Sens = 0,359, BalAcc = 0,446, Flip Acc = 0,557, flip_wins = 14/15, mc_count = 0. Bu, etki kaynağının özel olarak BiLSTM’nin gizli durumu olmadığını, attention ile de korunduğunu gösterir.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18_Attention_Heatmap_Bar.png" descr="Şekil 16. BiLSTM + Multi-Head Attention’ın anti-prediktif davranışı" title="Şekil 16. BiLSTM + Multi-Head Attention’ın anti-prediktif davranış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16. BiLSTM + Multi-Head Attention’ın anti-prediktif davranışı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4.13 NASDAQ (AAPL) Kontrolü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900"/>
        <w:gridCol w:w="700"/>
        <w:gridCol w:w="1100"/>
        <w:gridCol w:w="1100"/>
        <w:gridCol w:w="1606"/>
      </w:tblGrid>
      <w:tr>
        <w:trPr>
          <w:tblHeader/>
        </w:trPr>
        <w:tc>
          <w:tcPr>
            <w:tcW w:type="dxa" w:w="22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Piyasa</w:t>
            </w:r>
          </w:p>
        </w:tc>
        <w:tc>
          <w:tcPr>
            <w:tcW w:type="dxa" w:w="17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Grup</w:t>
            </w:r>
          </w:p>
        </w:tc>
        <w:tc>
          <w:tcPr>
            <w:tcW w:type="dxa" w:w="9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n_feat</w:t>
            </w:r>
          </w:p>
        </w:tc>
        <w:tc>
          <w:tcPr>
            <w:tcW w:type="dxa" w:w="7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n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Mean Acc</w:t>
            </w:r>
          </w:p>
        </w:tc>
        <w:tc>
          <w:tcPr>
            <w:tcW w:type="dxa" w:w="11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Mean Flip</w:t>
            </w:r>
          </w:p>
        </w:tc>
        <w:tc>
          <w:tcPr>
            <w:tcW w:type="dxa" w:w="16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flip_wins</w:t>
            </w:r>
          </w:p>
        </w:tc>
      </w:tr>
      <w:tr>
        <w:tc>
          <w:tcPr>
            <w:tcW w:type="dxa" w:w="2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BIST_THYAO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full_13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13</w:t>
            </w:r>
          </w:p>
        </w:tc>
        <w:tc>
          <w:tcPr>
            <w:tcW w:type="dxa" w:w="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0,396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0,604</w:t>
            </w:r>
          </w:p>
        </w:tc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 / 1</w:t>
            </w:r>
          </w:p>
        </w:tc>
      </w:tr>
      <w:tr>
        <w:tc>
          <w:tcPr>
            <w:tcW w:type="dxa" w:w="2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BIST_THYAO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no_ext_10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10</w:t>
            </w:r>
          </w:p>
        </w:tc>
        <w:tc>
          <w:tcPr>
            <w:tcW w:type="dxa" w:w="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0,496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0,504</w:t>
            </w:r>
          </w:p>
        </w:tc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1</w:t>
            </w:r>
          </w:p>
        </w:tc>
      </w:tr>
      <w:tr>
        <w:tc>
          <w:tcPr>
            <w:tcW w:type="dxa" w:w="2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NASDAQ_AAPL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full_13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13</w:t>
            </w:r>
          </w:p>
        </w:tc>
        <w:tc>
          <w:tcPr>
            <w:tcW w:type="dxa" w:w="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0,523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0,477</w:t>
            </w:r>
          </w:p>
        </w:tc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3</w:t>
            </w:r>
          </w:p>
        </w:tc>
      </w:tr>
      <w:tr>
        <w:tc>
          <w:tcPr>
            <w:tcW w:type="dxa" w:w="2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NASDAQ_AAPL</w:t>
            </w:r>
          </w:p>
        </w:tc>
        <w:tc>
          <w:tcPr>
            <w:tcW w:type="dxa" w:w="1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no_ext_10</w:t>
            </w:r>
          </w:p>
        </w:tc>
        <w:tc>
          <w:tcPr>
            <w:tcW w:type="dxa" w:w="9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10</w:t>
            </w:r>
          </w:p>
        </w:tc>
        <w:tc>
          <w:tcPr>
            <w:tcW w:type="dxa" w:w="7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0,533</w:t>
            </w:r>
          </w:p>
        </w:tc>
        <w:tc>
          <w:tcPr>
            <w:tcW w:type="dxa" w:w="11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0,467</w:t>
            </w:r>
          </w:p>
        </w:tc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 / 3</w:t>
            </w:r>
          </w:p>
        </w:tc>
      </w:tr>
    </w:tbl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AAPL’da DL hiçbir konfigürasyonda flip &gt; Naive üretmemiştir (0/6). Bu, anti-prediktif rejimin gelişmiş piyasalarda en azından bu boyutta gözlenmediğini ve gelişmekte olan piyasalara özgülük argümanını desteklediğini göstermektedir.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08_Piyasa_Hassasiyet_Heatmap.png" descr="Şekil 17. Piyasa hassasiyet ısı haritası: BIST vs NASDAQ" title="Şekil 17. Piyasa hassasiyet ısı haritası: BIST vs NASDA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17. Piyasa hassasiyet ısı haritası: BIST vs NASDAQ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13_Seed_Invariance_Bulgusu.png" descr="Şekil 18. Seed invariance bulgusu (5 seed tutarlılığı)" title="Şekil 18. Seed invariance bulgusu (5 seed tutarlılığı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18. Seed invariance bulgusu (5 seed tutarlılığı)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12_Walkforward_Inconsistency.png" descr="Şekil 19. Walk-forward tutarsızlığı (fold bazlı)" title="Şekil 19. Walk-forward tutarsızlığı (fold bazlı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19. Walk-forward tutarsızlığı (fold bazlı)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01_Sektorel_Kiyaslama_Bar.png" descr="Şekil 20. Sektörel karşılaştırma (Sigorta / Holding / Bankacılık)" title="Şekil 20. Sektörel karşılaştırma (Sigorta / Holding / Bankacılık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20. Sektörel karşılaştırma (Sigorta / Holding / Bankacılık)</w:t>
      </w:r>
    </w:p>
    <w:p>
      <w:r>
        <w:br w:type="page"/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06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68900" w:val="clear"/>
            <w:tcMar>
              <w:top w:type="dxa" w:w="240"/>
              <w:left w:type="dxa" w:w="20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6"/>
                <w:szCs w:val="56"/>
              </w:rPr>
              <w:t xml:space="preserve">05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val="clear"/>
            <w:tcMar>
              <w:top w:type="dxa" w:w="240"/>
              <w:left w:type="dxa" w:w="36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60"/>
                <w:sz w:val="16"/>
                <w:szCs w:val="16"/>
              </w:rPr>
              <w:t xml:space="preserve">BÖLÜM</w:t>
            </w:r>
          </w:p>
          <w:p>
            <w:pPr>
              <w:spacing w:after="0" w:before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6"/>
                <w:szCs w:val="36"/>
              </w:rPr>
              <w:t xml:space="preserve">Deney Envanteri (22 Deney)</w:t>
            </w:r>
          </w:p>
        </w:tc>
      </w:tr>
    </w:tbl>
    <w:p>
      <w:pPr>
        <w:pStyle w:val="Heading1"/>
        <w:spacing w:after="200" w:before="0"/>
      </w:pPr>
      <w:r>
        <w:rPr>
          <w:rFonts w:ascii="Cambria" w:cs="Cambria" w:eastAsia="Cambria" w:hAnsi="Cambria"/>
          <w:color w:val="FFFFFF"/>
          <w:sz w:val="4"/>
          <w:szCs w:val="4"/>
        </w:rPr>
        <w:t xml:space="preserve">Deney Envanteri (22 Deney)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800"/>
        <w:gridCol w:w="4506"/>
      </w:tblGrid>
      <w:tr>
        <w:trPr>
          <w:tblHeader/>
        </w:trPr>
        <w:tc>
          <w:tcPr>
            <w:tcW w:type="dxa" w:w="6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#</w:t>
            </w:r>
          </w:p>
        </w:tc>
        <w:tc>
          <w:tcPr>
            <w:tcW w:type="dxa" w:w="34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Deney</w:t>
            </w:r>
          </w:p>
        </w:tc>
        <w:tc>
          <w:tcPr>
            <w:tcW w:type="dxa" w:w="8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Durum</w:t>
            </w:r>
          </w:p>
        </w:tc>
        <w:tc>
          <w:tcPr>
            <w:tcW w:type="dxa" w:w="45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Özet Sonuç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I.1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Etiket flip teşhisi (THYAO v3)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15/15 anti-pred, p ≈ 3 × 10⁻⁵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I.2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MI ölçümü (histogram)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Full MI HIGH (kalibrasyon ile çürütüldü)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I.3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Etiket cross-check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Off-by-one bug elendi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I.4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Pencereleme ablasyonu (v3b)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Lag tuzağı elendi, 15/15 anti-pred korundu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I.5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MI kalibrasyon (permüt. + bootstrap)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6/6 BIAS_ONLY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I.6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BES replikasyonu (ALZ/AZS/AMZ)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Anti-pred YOK (THYAO-spesifik)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I.7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CW ablasyonu (v3c, CW=NULL)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15/15 anti-pred (CW-bağımsız)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I.8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Mimari ablasyonu (7 mimari)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118/120 anti-pred, McNemar: yön farkı yok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I.9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Walk-Forward CV (7 fold)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3/7 fold anti-pred, Fold 2 kümeli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I.10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BIST multi-stock (THYAO/GARAN/AKBNK)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Dış değişken olmadan anti-pred YOK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I.11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Feature ablasyonu (full_13 vs no_ext_10)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Dış makro değişkenler kaynak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I.12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Korelasyon kırılması + ablasyon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USDTRY –0,496; Oil işaret değişti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I.13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NASDAQ karşılaştırması (AAPL)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Büyük kırılma var ama anti-pred YOK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I.14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Majority Voting Ensemble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8/8 flip &gt; Naive (6 tek + 2 ensemble)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I.15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BiLSTM + Multi-Head Attention (v6)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14/15 flip &gt; Naive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I.16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Rule-based baseline (THYAO)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0/4 anti-pred, 0/4 beats_naive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I.17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GARAN doğrulama (DL + ML)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DL rastgele 7/15; ML Naive düzeyi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I.18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GARAN korelasyon analizi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GARAN kırılması THYAO’ya benzer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I.19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AAPL klasik ML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0/3 anti-pred, 0/3 beats_naive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I.20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IN_LEN ablasyonu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IN_LEN=2 → 8/15; IN_LEN=5,10 → 0/15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I.21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Walk-Forward × 6 mimari (42 koşu)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8/42 sıkı anti-pred (%19)</w:t>
            </w:r>
          </w:p>
        </w:tc>
      </w:tr>
      <w:tr>
        <w:tc>
          <w:tcPr>
            <w:tcW w:type="dxa" w:w="6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I.22</w:t>
            </w:r>
          </w:p>
        </w:tc>
        <w:tc>
          <w:tcPr>
            <w:tcW w:type="dxa" w:w="3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Sigorta v2 seed-fix (5 seed)</w:t>
            </w:r>
          </w:p>
        </w:tc>
        <w:tc>
          <w:tcPr>
            <w:tcW w:type="dxa" w:w="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OK</w:t>
            </w:r>
          </w:p>
        </w:tc>
        <w:tc>
          <w:tcPr>
            <w:tcW w:type="dxa" w:w="4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2/5 sıkı anti-pred (AKGRT, ANSGR)</w:t>
            </w:r>
          </w:p>
        </w:tc>
      </w:tr>
    </w:tbl>
    <w:p>
      <w:r>
        <w:br w:type="page"/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06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68900" w:val="clear"/>
            <w:tcMar>
              <w:top w:type="dxa" w:w="240"/>
              <w:left w:type="dxa" w:w="20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6"/>
                <w:szCs w:val="56"/>
              </w:rPr>
              <w:t xml:space="preserve">06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val="clear"/>
            <w:tcMar>
              <w:top w:type="dxa" w:w="240"/>
              <w:left w:type="dxa" w:w="36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60"/>
                <w:sz w:val="16"/>
                <w:szCs w:val="16"/>
              </w:rPr>
              <w:t xml:space="preserve">BÖLÜM</w:t>
            </w:r>
          </w:p>
          <w:p>
            <w:pPr>
              <w:spacing w:after="0" w:before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6"/>
                <w:szCs w:val="36"/>
              </w:rPr>
              <w:t xml:space="preserve">Sınırlamalar ve Açık Sorular</w:t>
            </w:r>
          </w:p>
        </w:tc>
      </w:tr>
    </w:tbl>
    <w:p>
      <w:pPr>
        <w:pStyle w:val="Heading1"/>
        <w:spacing w:after="200" w:before="0"/>
      </w:pPr>
      <w:r>
        <w:rPr>
          <w:rFonts w:ascii="Cambria" w:cs="Cambria" w:eastAsia="Cambria" w:hAnsi="Cambria"/>
          <w:color w:val="FFFFFF"/>
          <w:sz w:val="4"/>
          <w:szCs w:val="4"/>
        </w:rPr>
        <w:t xml:space="preserve">Sınırlamalar ve Açık Sorular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6.1 Kapatılmış Sınırlamalar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2F6A3E"/>
          <w:sz w:val="22"/>
          <w:szCs w:val="22"/>
        </w:rPr>
        <w:t xml:space="preserve">[OK]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Lag tuzağı: v3b pencereleme düzeltmesi — anti-pred etki korundu (I.4)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2F6A3E"/>
          <w:sz w:val="22"/>
          <w:szCs w:val="22"/>
        </w:rPr>
        <w:t xml:space="preserve">[OK]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Etiket bug: cross-check ile off-by-one elendi (I.3)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2F6A3E"/>
          <w:sz w:val="22"/>
          <w:szCs w:val="22"/>
        </w:rPr>
        <w:t xml:space="preserve">[OK]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CW artefaktı: CW=NULL’da da 15/15 anti-pred (I.7)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2F6A3E"/>
          <w:sz w:val="22"/>
          <w:szCs w:val="22"/>
        </w:rPr>
        <w:t xml:space="preserve">[OK]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AAPL klasik ML: 3 model, 0/3 anti-pred (I.19)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2F6A3E"/>
          <w:sz w:val="22"/>
          <w:szCs w:val="22"/>
        </w:rPr>
        <w:t xml:space="preserve">[OK]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IN_LEN bağımlılığı: IN_LEN=2’ye özgü (I.20)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2F6A3E"/>
          <w:sz w:val="22"/>
          <w:szCs w:val="22"/>
        </w:rPr>
        <w:t xml:space="preserve">[OK]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Walk-forward × 6 mimari: 8/42 sıkı anti-pred (I.21)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2F6A3E"/>
          <w:sz w:val="22"/>
          <w:szCs w:val="22"/>
        </w:rPr>
        <w:t xml:space="preserve">[OK]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Seed duyarsızlık: v2 seed-fix ile RAYSG std 6,7× iyileşti (I.22)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6.2 Açık Sınırlamalar (2209-A’da kabul edilebilir)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A67500"/>
          <w:sz w:val="22"/>
          <w:szCs w:val="22"/>
        </w:rPr>
        <w:t xml:space="preserve">[!]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AAPL Çelişkisi: Korelasyon kırılması THYAO’dan büyük ama anti-pred YOK — mekanizma eksik.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A67500"/>
          <w:sz w:val="22"/>
          <w:szCs w:val="22"/>
        </w:rPr>
        <w:t xml:space="preserve">[!]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Sektörel n = 10 küçük örneklem: Fisher exact p ≈ 0,44 — ön kanıt, ispat değil.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A67500"/>
          <w:sz w:val="22"/>
          <w:szCs w:val="22"/>
        </w:rPr>
        <w:t xml:space="preserve">[!]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GARAN korelasyon paradoksu: GARAN kırılması THYAO’ya benzer ama anti-pred YOK.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A67500"/>
          <w:sz w:val="22"/>
          <w:szCs w:val="22"/>
        </w:rPr>
        <w:t xml:space="preserve">[!]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MI güvenilirliği: Histogram-MI tamamen bias çıktı; kNN estimator denenmedi.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A67500"/>
          <w:sz w:val="22"/>
          <w:szCs w:val="22"/>
        </w:rPr>
        <w:t xml:space="preserve">[!]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Selective Abstain (v2.c): hiç denenmedi; ADIM L’de planlı.</w:t>
      </w:r>
    </w:p>
    <w:p>
      <w:r>
        <w:br w:type="page"/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06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68900" w:val="clear"/>
            <w:tcMar>
              <w:top w:type="dxa" w:w="240"/>
              <w:left w:type="dxa" w:w="20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6"/>
                <w:szCs w:val="56"/>
              </w:rPr>
              <w:t xml:space="preserve">07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val="clear"/>
            <w:tcMar>
              <w:top w:type="dxa" w:w="240"/>
              <w:left w:type="dxa" w:w="36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60"/>
                <w:sz w:val="16"/>
                <w:szCs w:val="16"/>
              </w:rPr>
              <w:t xml:space="preserve">BÖLÜM</w:t>
            </w:r>
          </w:p>
          <w:p>
            <w:pPr>
              <w:spacing w:after="0" w:before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6"/>
                <w:szCs w:val="36"/>
              </w:rPr>
              <w:t xml:space="preserve">Proje Kararları ve Yönetim</w:t>
            </w:r>
          </w:p>
        </w:tc>
      </w:tr>
    </w:tbl>
    <w:p>
      <w:pPr>
        <w:pStyle w:val="Heading1"/>
        <w:spacing w:after="200" w:before="0"/>
      </w:pPr>
      <w:r>
        <w:rPr>
          <w:rFonts w:ascii="Cambria" w:cs="Cambria" w:eastAsia="Cambria" w:hAnsi="Cambria"/>
          <w:color w:val="FFFFFF"/>
          <w:sz w:val="4"/>
          <w:szCs w:val="4"/>
        </w:rPr>
        <w:t xml:space="preserve">Proje Kararları ve Yönetim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7.1 Netleşmiş Kararlar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6"/>
      </w:tblGrid>
      <w:tr>
        <w:trPr>
          <w:tblHeader/>
        </w:trPr>
        <w:tc>
          <w:tcPr>
            <w:tcW w:type="dxa" w:w="20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Karar</w:t>
            </w:r>
          </w:p>
        </w:tc>
        <w:tc>
          <w:tcPr>
            <w:tcW w:type="dxa" w:w="73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İçerik</w:t>
            </w:r>
          </w:p>
        </w:tc>
      </w:tr>
      <w:tr>
        <w:tc>
          <w:tcPr>
            <w:tcW w:type="dxa" w:w="2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KARAR-1, 2, 3</w:t>
            </w:r>
          </w:p>
        </w:tc>
        <w:tc>
          <w:tcPr>
            <w:tcW w:type="dxa" w:w="7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Yürütücü: Mehmet Ali KURT · Yardımcı: Şevval DEMİR · Danışman: Doç. Dr. Övgücan KARADAĞ ERDEMİR</w:t>
            </w:r>
          </w:p>
        </w:tc>
      </w:tr>
      <w:tr>
        <w:tc>
          <w:tcPr>
            <w:tcW w:type="dxa" w:w="2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KARAR-4</w:t>
            </w:r>
          </w:p>
        </w:tc>
        <w:tc>
          <w:tcPr>
            <w:tcW w:type="dxa" w:w="7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Program: TÜBİTAK 2209-A 2026/2 dönemi (1001/ARDEB değil)</w:t>
            </w:r>
          </w:p>
        </w:tc>
      </w:tr>
      <w:tr>
        <w:tc>
          <w:tcPr>
            <w:tcW w:type="dxa" w:w="2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KARAR-5</w:t>
            </w:r>
          </w:p>
        </w:tc>
        <w:tc>
          <w:tcPr>
            <w:tcW w:type="dxa" w:w="7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Başvuru: 13/10/2026 – 19/11/2026 (danışman onayı) → 24/11 – 01/12/2026 (kuruluş e-imza) → ~Şubat 2027 hibe</w:t>
            </w:r>
          </w:p>
        </w:tc>
      </w:tr>
      <w:tr>
        <w:tc>
          <w:tcPr>
            <w:tcW w:type="dxa" w:w="2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KARAR-6</w:t>
            </w:r>
          </w:p>
        </w:tc>
        <w:tc>
          <w:tcPr>
            <w:tcW w:type="dxa" w:w="7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Kapsam: 3 model (vanilla LSTM, vanilla CNN, BiLSTM) × 4 varlık × 9 config × 5 seed (~540 koşu)</w:t>
            </w:r>
          </w:p>
        </w:tc>
      </w:tr>
      <w:tr>
        <w:tc>
          <w:tcPr>
            <w:tcW w:type="dxa" w:w="2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KARAR-7</w:t>
            </w:r>
          </w:p>
        </w:tc>
        <w:tc>
          <w:tcPr>
            <w:tcW w:type="dxa" w:w="7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Ana mimari: BiLSTM + CW = balanced. Multi-Defense (4 bileşen) terk edildi.</w:t>
            </w:r>
          </w:p>
        </w:tc>
      </w:tr>
      <w:tr>
        <w:tc>
          <w:tcPr>
            <w:tcW w:type="dxa" w:w="2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KARAR-8</w:t>
            </w:r>
          </w:p>
        </w:tc>
        <w:tc>
          <w:tcPr>
            <w:tcW w:type="dxa" w:w="7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Argüman tonu: ÖLÇÜLÜ. "Keşif" yerine "gözlem / karakterizasyon". Negatif sonuç dürüstçe kabul edilir.</w:t>
            </w:r>
          </w:p>
        </w:tc>
      </w:tr>
      <w:tr>
        <w:tc>
          <w:tcPr>
            <w:tcW w:type="dxa" w:w="2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KARAR-9</w:t>
            </w:r>
          </w:p>
        </w:tc>
        <w:tc>
          <w:tcPr>
            <w:tcW w:type="dxa" w:w="7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Danışman onayı alındı (19 Mayıs 2026): BiLSTM kullanılacak; MC tuzağı çözümü hedeflenecek.</w:t>
            </w:r>
          </w:p>
        </w:tc>
      </w:tr>
      <w:tr>
        <w:tc>
          <w:tcPr>
            <w:tcW w:type="dxa" w:w="2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A3E"/>
                <w:sz w:val="22"/>
                <w:szCs w:val="22"/>
              </w:rPr>
              <w:t xml:space="preserve">KARAR-10</w:t>
            </w:r>
          </w:p>
        </w:tc>
        <w:tc>
          <w:tcPr>
            <w:tcW w:type="dxa" w:w="73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A3E"/>
                <w:sz w:val="22"/>
                <w:szCs w:val="22"/>
              </w:rPr>
              <w:t xml:space="preserve">Ana iddia çerçevesi sabitlendi: 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Y2 + Y4/Y5 birleşik tezi (24 Mayıs 2026). Panel sunumu tek tutarlı iddia üzerinden yapılacaktır: </w:t>
            </w:r>
            <w:r>
              <w:rPr>
                <w:rFonts w:ascii="Calibri" w:cs="Calibri" w:eastAsia="Calibri" w:hAnsi="Calibri"/>
                <w:i/>
                <w:iCs/>
                <w:color w:val="1F2330"/>
                <w:sz w:val="22"/>
                <w:szCs w:val="22"/>
              </w:rPr>
              <w:t xml:space="preserve">"Klasik ML Naive düzeyindedir (sinyal yetersiz); BiLSTM + CW=balanced koşulunda DL ise sistematik ters tahmin üretir (118/120, p ≈ 6 × 10⁻³³). Bu asimetri BIST günlük yön tahmininde DL algoritmik bias’ının imzasıdır."</w:t>
            </w: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 Y3 (TEFAS politika) ve Yorum 3 (Contrarian) yedek tez olarak korunur; Yorum 2 zayıf bulunduğu için ana tezden çıkarılmıştır.</w:t>
            </w:r>
          </w:p>
        </w:tc>
      </w:tr>
    </w:tbl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7.2 Reddedilen Yaklaşımlar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6"/>
      </w:tblGrid>
      <w:tr>
        <w:trPr>
          <w:tblHeader/>
        </w:trPr>
        <w:tc>
          <w:tcPr>
            <w:tcW w:type="dxa" w:w="32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Reddedilen</w:t>
            </w:r>
          </w:p>
        </w:tc>
        <w:tc>
          <w:tcPr>
            <w:tcW w:type="dxa" w:w="61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Gerekçe</w:t>
            </w:r>
          </w:p>
        </w:tc>
      </w:tr>
      <w:tr>
        <w:tc>
          <w:tcPr>
            <w:tcW w:type="dxa" w:w="3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Transformer (ana mimari olarak)</w:t>
            </w:r>
          </w:p>
        </w:tc>
        <w:tc>
          <w:tcPr>
            <w:tcW w:type="dxa" w:w="61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262 hafta veri için over-parameterized; lisans için riskli (ablasyon olarak korundu)</w:t>
            </w:r>
          </w:p>
        </w:tc>
      </w:tr>
      <w:tr>
        <w:tc>
          <w:tcPr>
            <w:tcW w:type="dxa" w:w="3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TimeGAN augmentation</w:t>
            </w:r>
          </w:p>
        </w:tc>
        <w:tc>
          <w:tcPr>
            <w:tcW w:type="dxa" w:w="61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Patolojik örüntü riski; minority sample sayısı yetersiz</w:t>
            </w:r>
          </w:p>
        </w:tc>
      </w:tr>
      <w:tr>
        <w:tc>
          <w:tcPr>
            <w:tcW w:type="dxa" w:w="3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Bayesian MC-Dropout</w:t>
            </w:r>
          </w:p>
        </w:tc>
        <w:tc>
          <w:tcPr>
            <w:tcW w:type="dxa" w:w="61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Sandbox’ta test edilemiyor; Yön 1 ile büyük örtüşme</w:t>
            </w:r>
          </w:p>
        </w:tc>
      </w:tr>
      <w:tr>
        <w:tc>
          <w:tcPr>
            <w:tcW w:type="dxa" w:w="3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Multi-Task</w:t>
            </w:r>
          </w:p>
        </w:tc>
        <w:tc>
          <w:tcPr>
            <w:tcW w:type="dxa" w:w="61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262 hafta 4 göreve yetmez; çelişen gradient iddiası teorik olarak zayıf</w:t>
            </w:r>
          </w:p>
        </w:tc>
      </w:tr>
      <w:tr>
        <w:tc>
          <w:tcPr>
            <w:tcW w:type="dxa" w:w="3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MCRF Framework</w:t>
            </w:r>
          </w:p>
        </w:tc>
        <w:tc>
          <w:tcPr>
            <w:tcW w:type="dxa" w:w="61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Scope çok büyük; 864 deney 12 ayda yapılamaz</w:t>
            </w:r>
          </w:p>
        </w:tc>
      </w:tr>
      <w:tr>
        <w:tc>
          <w:tcPr>
            <w:tcW w:type="dxa" w:w="3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Y1 (Shannon) / Y3 (TEFAS)</w:t>
            </w:r>
          </w:p>
        </w:tc>
        <w:tc>
          <w:tcPr>
            <w:tcW w:type="dxa" w:w="61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Danışman reddi: felsefi reframe 2209-A için yetersiz (19 Mayıs 2026)</w:t>
            </w:r>
          </w:p>
        </w:tc>
      </w:tr>
      <w:tr>
        <w:tc>
          <w:tcPr>
            <w:tcW w:type="dxa" w:w="3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Multi-Defense bağımsızlık matematiği</w:t>
            </w:r>
          </w:p>
        </w:tc>
        <w:tc>
          <w:tcPr>
            <w:tcW w:type="dxa" w:w="61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P(MC | all) ≤ ΠP(MC | i) bağımsızlık varsayar; katmanlar bağımlı</w:t>
            </w:r>
          </w:p>
        </w:tc>
      </w:tr>
      <w:tr>
        <w:tc>
          <w:tcPr>
            <w:tcW w:type="dxa" w:w="32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MI iddiaları (C3)</w:t>
            </w:r>
          </w:p>
        </w:tc>
        <w:tc>
          <w:tcPr>
            <w:tcW w:type="dxa" w:w="61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200 permütasyon kalibrasyonu: full feature MI tamamen histogram bias</w:t>
            </w:r>
          </w:p>
        </w:tc>
      </w:tr>
    </w:tbl>
    <w:p>
      <w:r>
        <w:br w:type="page"/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06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68900" w:val="clear"/>
            <w:tcMar>
              <w:top w:type="dxa" w:w="240"/>
              <w:left w:type="dxa" w:w="20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6"/>
                <w:szCs w:val="56"/>
              </w:rPr>
              <w:t xml:space="preserve">08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val="clear"/>
            <w:tcMar>
              <w:top w:type="dxa" w:w="240"/>
              <w:left w:type="dxa" w:w="36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60"/>
                <w:sz w:val="16"/>
                <w:szCs w:val="16"/>
              </w:rPr>
              <w:t xml:space="preserve">BÖLÜM</w:t>
            </w:r>
          </w:p>
          <w:p>
            <w:pPr>
              <w:spacing w:after="0" w:before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6"/>
                <w:szCs w:val="36"/>
              </w:rPr>
              <w:t xml:space="preserve">Takvim ve Sonraki Adımlar</w:t>
            </w:r>
          </w:p>
        </w:tc>
      </w:tr>
    </w:tbl>
    <w:p>
      <w:pPr>
        <w:pStyle w:val="Heading1"/>
        <w:spacing w:after="200" w:before="0"/>
      </w:pPr>
      <w:r>
        <w:rPr>
          <w:rFonts w:ascii="Cambria" w:cs="Cambria" w:eastAsia="Cambria" w:hAnsi="Cambria"/>
          <w:color w:val="FFFFFF"/>
          <w:sz w:val="4"/>
          <w:szCs w:val="4"/>
        </w:rPr>
        <w:t xml:space="preserve">Takvim ve Sonraki Adımlar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Bugün (24 Mayıs 2026) → 13 Ekim 2026 ≈ 20 hafta. Yeterli buffer mevcuttur. Aşağıdaki plan ADIM J–N aşamalarını kapsar.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506"/>
      </w:tblGrid>
      <w:tr>
        <w:trPr>
          <w:tblHeader/>
        </w:trPr>
        <w:tc>
          <w:tcPr>
            <w:tcW w:type="dxa" w:w="30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Aşama</w:t>
            </w:r>
          </w:p>
        </w:tc>
        <w:tc>
          <w:tcPr>
            <w:tcW w:type="dxa" w:w="28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Süre</w:t>
            </w:r>
          </w:p>
        </w:tc>
        <w:tc>
          <w:tcPr>
            <w:tcW w:type="dxa" w:w="35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İçerik</w:t>
            </w:r>
          </w:p>
        </w:tc>
      </w:tr>
      <w:tr>
        <w:tc>
          <w:tcPr>
            <w:tcW w:type="dxa" w:w="3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ADIM J — Hoca Toplantısı</w:t>
            </w:r>
          </w:p>
        </w:tc>
        <w:tc>
          <w:tcPr>
            <w:tcW w:type="dxa" w:w="2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A3E"/>
                <w:sz w:val="22"/>
                <w:szCs w:val="22"/>
              </w:rPr>
              <w:t xml:space="preserve">Tamamlandı (24 May 2026)</w:t>
            </w:r>
          </w:p>
        </w:tc>
        <w:tc>
          <w:tcPr>
            <w:tcW w:type="dxa" w:w="3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KARAR-10 kapatıldı: Y2 + Y4/Y5 birleşik tezi seçildi.</w:t>
            </w:r>
          </w:p>
        </w:tc>
      </w:tr>
      <w:tr>
        <w:tc>
          <w:tcPr>
            <w:tcW w:type="dxa" w:w="3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ADIM L — Ablasyon</w:t>
            </w:r>
          </w:p>
        </w:tc>
        <w:tc>
          <w:tcPr>
            <w:tcW w:type="dxa" w:w="2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Hazi.–Tem. 2026 (~6 hafta)</w:t>
            </w:r>
          </w:p>
        </w:tc>
        <w:tc>
          <w:tcPr>
            <w:tcW w:type="dxa" w:w="3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Seçilen iddiaya göre ek deneyler</w:t>
            </w:r>
          </w:p>
        </w:tc>
      </w:tr>
      <w:tr>
        <w:tc>
          <w:tcPr>
            <w:tcW w:type="dxa" w:w="3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ADIM M — Taslak</w:t>
            </w:r>
          </w:p>
        </w:tc>
        <w:tc>
          <w:tcPr>
            <w:tcW w:type="dxa" w:w="2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Ağu.–Eyl. 2026 (~6 hafta)</w:t>
            </w:r>
          </w:p>
        </w:tc>
        <w:tc>
          <w:tcPr>
            <w:tcW w:type="dxa" w:w="3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Word, ~25 sayfa, Türkçe, 2209-A formatı</w:t>
            </w:r>
          </w:p>
        </w:tc>
      </w:tr>
      <w:tr>
        <w:tc>
          <w:tcPr>
            <w:tcW w:type="dxa" w:w="30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ADIM N — Başvuru</w:t>
            </w:r>
          </w:p>
        </w:tc>
        <w:tc>
          <w:tcPr>
            <w:tcW w:type="dxa" w:w="2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Ekim–Kasım 2026</w:t>
            </w:r>
          </w:p>
        </w:tc>
        <w:tc>
          <w:tcPr>
            <w:tcW w:type="dxa" w:w="3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13/10 – 19/11 başvuru + 24/11 – 01/12 e-imza</w:t>
            </w:r>
          </w:p>
        </w:tc>
      </w:tr>
    </w:tbl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8.1 Önerilen İddia Çerçeveleri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06"/>
      </w:tblGrid>
      <w:tr>
        <w:trPr>
          <w:tblHeader/>
        </w:trPr>
        <w:tc>
          <w:tcPr>
            <w:tcW w:type="dxa" w:w="24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Seçenek</w:t>
            </w:r>
          </w:p>
        </w:tc>
        <w:tc>
          <w:tcPr>
            <w:tcW w:type="dxa" w:w="69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İddia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Y2 + Y4/Y5 (Önerilen)</w:t>
            </w:r>
          </w:p>
        </w:tc>
        <w:tc>
          <w:tcPr>
            <w:tcW w:type="dxa" w:w="69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"BIST günlük yön tahmininde klasik ML Naive düzeyindedir (sinyal yetersiz). DL ise CW=balanced koşulunda sistematik ters tahmin üretmektedir (118/120 flip &gt; Naive, p ≈ 6 × 10⁻³³). Asimetri DL’in algoritmik bias’ına işaret eder."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Yorum 3 (Contrarian)</w:t>
            </w:r>
          </w:p>
        </w:tc>
        <w:tc>
          <w:tcPr>
            <w:tcW w:type="dxa" w:w="69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"THYAO’da 45/45 konfigürasyonda sistematik contrarian davranış. Jegadeesh–Titman (1993) reversal etkisinin BIST lisans-düzey kanıtı."</w:t>
            </w:r>
          </w:p>
        </w:tc>
      </w:tr>
      <w:tr>
        <w:tc>
          <w:tcPr>
            <w:tcW w:type="dxa" w:w="24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Yorum 2 (Klasik)</w:t>
            </w:r>
          </w:p>
        </w:tc>
        <w:tc>
          <w:tcPr>
            <w:tcW w:type="dxa" w:w="69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"MC tuzağı BiLSTM ile çözüldü. Selective Abstain ile coverage–accuracy dengesi kurulabilir." (Zayıf — Selective denenmedi)</w:t>
            </w:r>
          </w:p>
        </w:tc>
      </w:tr>
    </w:tbl>
    <w:p>
      <w:r>
        <w:br w:type="page"/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06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68900" w:val="clear"/>
            <w:tcMar>
              <w:top w:type="dxa" w:w="240"/>
              <w:left w:type="dxa" w:w="20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6"/>
                <w:szCs w:val="56"/>
              </w:rPr>
              <w:t xml:space="preserve">09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val="clear"/>
            <w:tcMar>
              <w:top w:type="dxa" w:w="240"/>
              <w:left w:type="dxa" w:w="36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60"/>
                <w:sz w:val="16"/>
                <w:szCs w:val="16"/>
              </w:rPr>
              <w:t xml:space="preserve">BÖLÜM</w:t>
            </w:r>
          </w:p>
          <w:p>
            <w:pPr>
              <w:spacing w:after="0" w:before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6"/>
                <w:szCs w:val="36"/>
              </w:rPr>
              <w:t xml:space="preserve">Dosya ve Çıktı Envanteri</w:t>
            </w:r>
          </w:p>
        </w:tc>
      </w:tr>
    </w:tbl>
    <w:p>
      <w:pPr>
        <w:pStyle w:val="Heading1"/>
        <w:spacing w:after="200" w:before="0"/>
      </w:pPr>
      <w:r>
        <w:rPr>
          <w:rFonts w:ascii="Cambria" w:cs="Cambria" w:eastAsia="Cambria" w:hAnsi="Cambria"/>
          <w:color w:val="FFFFFF"/>
          <w:sz w:val="4"/>
          <w:szCs w:val="4"/>
        </w:rPr>
        <w:t xml:space="preserve">Dosya ve Çıktı Envanteri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9.1 Temel Belgeler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06"/>
      </w:tblGrid>
      <w:tr>
        <w:trPr>
          <w:tblHeader/>
        </w:trPr>
        <w:tc>
          <w:tcPr>
            <w:tcW w:type="dxa" w:w="35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Dosya</w:t>
            </w:r>
          </w:p>
        </w:tc>
        <w:tc>
          <w:tcPr>
            <w:tcW w:type="dxa" w:w="58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Açıklama</w:t>
            </w:r>
          </w:p>
        </w:tc>
      </w:tr>
      <w:tr>
        <w:tc>
          <w:tcPr>
            <w:tcW w:type="dxa" w:w="3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Docs/PROJE_DURUMU.txt</w:t>
            </w:r>
          </w:p>
        </w:tc>
        <w:tc>
          <w:tcPr>
            <w:tcW w:type="dxa" w:w="5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Bu projenin tek aktif kaydı (append-only, 12 bölüm, ~6.500 satır)</w:t>
            </w:r>
          </w:p>
        </w:tc>
      </w:tr>
      <w:tr>
        <w:tc>
          <w:tcPr>
            <w:tcW w:type="dxa" w:w="3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Docs/TUBITAK_2209A_Proje_Durumu.docx</w:t>
            </w:r>
          </w:p>
        </w:tc>
        <w:tc>
          <w:tcPr>
            <w:tcW w:type="dxa" w:w="5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Bu belge · 22 deney + tüm bulgular + 9 sınırlama + 20 görsel · CSV uyumlu</w:t>
            </w:r>
          </w:p>
        </w:tc>
      </w:tr>
      <w:tr>
        <w:tc>
          <w:tcPr>
            <w:tcW w:type="dxa" w:w="3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Docs/MC_AWARE_Birlesitirilmis_Rapor.docx</w:t>
            </w:r>
          </w:p>
        </w:tc>
        <w:tc>
          <w:tcPr>
            <w:tcW w:type="dxa" w:w="5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Tüm raporların birleşik Word belgesi</w:t>
            </w:r>
          </w:p>
        </w:tc>
      </w:tr>
      <w:tr>
        <w:tc>
          <w:tcPr>
            <w:tcW w:type="dxa" w:w="3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Docs/Dashboard/index.html</w:t>
            </w:r>
          </w:p>
        </w:tc>
        <w:tc>
          <w:tcPr>
            <w:tcW w:type="dxa" w:w="5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Tek dosya interaktif dashboard (Base64 gömülü, internet gerektirmez)</w:t>
            </w:r>
          </w:p>
        </w:tc>
      </w:tr>
      <w:tr>
        <w:tc>
          <w:tcPr>
            <w:tcW w:type="dxa" w:w="3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README.md</w:t>
            </w:r>
          </w:p>
        </w:tc>
        <w:tc>
          <w:tcPr>
            <w:tcW w:type="dxa" w:w="5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Açık Bilim beyanı + proje yapısı (GitHub)</w:t>
            </w:r>
          </w:p>
        </w:tc>
      </w:tr>
    </w:tbl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9.2 Kod Yapısı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06"/>
      </w:tblGrid>
      <w:tr>
        <w:trPr>
          <w:tblHeader/>
        </w:trPr>
        <w:tc>
          <w:tcPr>
            <w:tcW w:type="dxa" w:w="28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Klasör</w:t>
            </w:r>
          </w:p>
        </w:tc>
        <w:tc>
          <w:tcPr>
            <w:tcW w:type="dxa" w:w="65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İçerik</w:t>
            </w:r>
          </w:p>
        </w:tc>
      </w:tr>
      <w:tr>
        <w:tc>
          <w:tcPr>
            <w:tcW w:type="dxa" w:w="2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Kodlar/01_prototypes/</w:t>
            </w:r>
          </w:p>
        </w:tc>
        <w:tc>
          <w:tcPr>
            <w:tcW w:type="dxa" w:w="6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BiLSTM v1.1, v2a, v2b, v2b_fix, v3, v3b, v3c, v6 THYAO prototipleri</w:t>
            </w:r>
          </w:p>
        </w:tc>
      </w:tr>
      <w:tr>
        <w:tc>
          <w:tcPr>
            <w:tcW w:type="dxa" w:w="2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Kodlar/02_ablation/</w:t>
            </w:r>
          </w:p>
        </w:tc>
        <w:tc>
          <w:tcPr>
            <w:tcW w:type="dxa" w:w="6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Feature, IN_LEN, CW, korelasyon, mimari, GARAN ablasyon scriptleri</w:t>
            </w:r>
          </w:p>
        </w:tc>
      </w:tr>
      <w:tr>
        <w:tc>
          <w:tcPr>
            <w:tcW w:type="dxa" w:w="2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Kodlar/03_validation/</w:t>
            </w:r>
          </w:p>
        </w:tc>
        <w:tc>
          <w:tcPr>
            <w:tcW w:type="dxa" w:w="6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Walk-Forward CV (tekli + 6 mimari), BES fon replikasyonu</w:t>
            </w:r>
          </w:p>
        </w:tc>
      </w:tr>
      <w:tr>
        <w:tc>
          <w:tcPr>
            <w:tcW w:type="dxa" w:w="2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Kodlar/04_baseline/</w:t>
            </w:r>
          </w:p>
        </w:tc>
        <w:tc>
          <w:tcPr>
            <w:tcW w:type="dxa" w:w="6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Rule-based (THYAO, GARAN, AAPL), Majority Voting, Ensemble</w:t>
            </w:r>
          </w:p>
        </w:tc>
      </w:tr>
      <w:tr>
        <w:tc>
          <w:tcPr>
            <w:tcW w:type="dxa" w:w="2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Kodlar/05_diagnostic/</w:t>
            </w:r>
          </w:p>
        </w:tc>
        <w:tc>
          <w:tcPr>
            <w:tcW w:type="dxa" w:w="6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MI kalibrasyon, etiket cross-check, multi-arch McNemar</w:t>
            </w:r>
          </w:p>
        </w:tc>
      </w:tr>
      <w:tr>
        <w:tc>
          <w:tcPr>
            <w:tcW w:type="dxa" w:w="2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Kodlar/06_ek_deneyler/</w:t>
            </w:r>
          </w:p>
        </w:tc>
        <w:tc>
          <w:tcPr>
            <w:tcW w:type="dxa" w:w="6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BIST-5 sigorta (+ Attention), BIST-5 holding, görselleştirme</w:t>
            </w:r>
          </w:p>
        </w:tc>
      </w:tr>
      <w:tr>
        <w:tc>
          <w:tcPr>
            <w:tcW w:type="dxa" w:w="2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Kodlar/07_faz2_deneyler/</w:t>
            </w:r>
          </w:p>
        </w:tc>
        <w:tc>
          <w:tcPr>
            <w:tcW w:type="dxa" w:w="6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Faz 2 analizleri ve görselleştirme scriptleri</w:t>
            </w:r>
          </w:p>
        </w:tc>
      </w:tr>
      <w:tr>
        <w:tc>
          <w:tcPr>
            <w:tcW w:type="dxa" w:w="28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Kodlar/FINAL_RELEASE/</w:t>
            </w:r>
          </w:p>
        </w:tc>
        <w:tc>
          <w:tcPr>
            <w:tcW w:type="dxa" w:w="6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Nihai yayın paketi (7 R + 1 README = 8 dosya)</w:t>
            </w:r>
          </w:p>
        </w:tc>
      </w:tr>
    </w:tbl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9.3 Çıktı Klasörleri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Sonuclar/summaries/ — 60+ SUMMARY/RESULTS/STRICT/MATRIX CSV (bu raporun ground-truth’u)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Sonuclar/diagnostics/ — Korelasyon, McNemar, MI kalibrasyon, seed varyans CSV’leri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Sonuclar/predictions/ — Tüm tahmin serileri (örnek-bazlı ŷ değerleri)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Sonuclar/thresholds/ — Olasılık eşik ızgaraları (Acc/F1/BalAcc taraması)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Gorseller/ — 20 yüksek çözünürlüklü PNG (300 DPI)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9.4 Proje Anayasası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CSV Anayasası: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CSV ground-truth dosyaları kesinlikle değiştirilemez; sadece okunur.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PROJE_DURUMU.txt dokunulmazlığı: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Geçmiş bölümler silinemez; sadece en sona eklenir (append-only).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Eski hataların silinmesi: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Düzeltilen hatalar nihai rapordan çıkarılır; sadece temiz hali kalır.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Dosya hijyeni: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Geçici scriptler ve build dosyaları işleri bitince temizlenir.</w:t>
      </w:r>
    </w:p>
    <w:p>
      <w:r>
        <w:br w:type="page"/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06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68900" w:val="clear"/>
            <w:tcMar>
              <w:top w:type="dxa" w:w="240"/>
              <w:left w:type="dxa" w:w="20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6"/>
                <w:szCs w:val="56"/>
              </w:rPr>
              <w:t xml:space="preserve">10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val="clear"/>
            <w:tcMar>
              <w:top w:type="dxa" w:w="240"/>
              <w:left w:type="dxa" w:w="36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60"/>
                <w:sz w:val="16"/>
                <w:szCs w:val="16"/>
              </w:rPr>
              <w:t xml:space="preserve">BÖLÜM</w:t>
            </w:r>
          </w:p>
          <w:p>
            <w:pPr>
              <w:spacing w:after="0" w:before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6"/>
                <w:szCs w:val="36"/>
              </w:rPr>
              <w:t xml:space="preserve">Dürüst Akademik Değerlendirme</w:t>
            </w:r>
          </w:p>
        </w:tc>
      </w:tr>
    </w:tbl>
    <w:p>
      <w:pPr>
        <w:pStyle w:val="Heading1"/>
        <w:spacing w:after="200" w:before="0"/>
      </w:pPr>
      <w:r>
        <w:rPr>
          <w:rFonts w:ascii="Cambria" w:cs="Cambria" w:eastAsia="Cambria" w:hAnsi="Cambria"/>
          <w:color w:val="FFFFFF"/>
          <w:sz w:val="4"/>
          <w:szCs w:val="4"/>
        </w:rPr>
        <w:t xml:space="preserve">Dürüst Akademik Değerlendirme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10.1 Proje Güçleri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Metodoloji kalitesi: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Lisans düzeyinde olağanüstü hacim (22 deney, 350+ konfigürasyon, 7 mimari).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Tekrarlanabilirlik: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Tüm sayılar CSV ground-truth ile %100 doğrulanmış; scriptler açık kaynak.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Ön çalışma: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UYIK 2026 bildirisi + Türkçe makale güçlü zemin sağlar.</w:t>
      </w:r>
    </w:p>
    <w:p>
      <w:pPr>
        <w:pStyle w:val="ListParagraph"/>
        <w:numPr>
          <w:ilvl w:val="0"/>
          <w:numId w:val="2"/>
        </w:numPr>
        <w:spacing w:after="50" w:before="50" w:line="3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Falsification testi: </w:t>
      </w:r>
      <w:r>
        <w:rPr>
          <w:rFonts w:ascii="Calibri" w:cs="Calibri" w:eastAsia="Calibri" w:hAnsi="Calibri"/>
          <w:color w:val="1F2330"/>
          <w:sz w:val="22"/>
          <w:szCs w:val="22"/>
        </w:rPr>
        <w:t xml:space="preserve">Holding sektöründe 0/5 beklenen sonuç — metodolojik dürüstlük.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10.2 Dürüst Çerçeveleme (Overclaim Düzeltmesi)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4653"/>
      </w:tblGrid>
      <w:tr>
        <w:trPr>
          <w:tblHeader/>
        </w:trPr>
        <w:tc>
          <w:tcPr>
            <w:tcW w:type="dxa" w:w="4653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Yanlış (Overclaim)</w:t>
            </w:r>
          </w:p>
        </w:tc>
        <w:tc>
          <w:tcPr>
            <w:tcW w:type="dxa" w:w="4653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Doğru (Dürüst)</w:t>
            </w:r>
          </w:p>
        </w:tc>
      </w:tr>
      <w:tr>
        <w:tc>
          <w:tcPr>
            <w:tcW w:type="dxa" w:w="465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"Anti-prediktif davranış keşfettik"</w:t>
            </w:r>
          </w:p>
        </w:tc>
        <w:tc>
          <w:tcPr>
            <w:tcW w:type="dxa" w:w="465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"Anti-prediktif davranışı gözlemledik ve sistematik olarak karakterize ettik"</w:t>
            </w:r>
          </w:p>
        </w:tc>
      </w:tr>
      <w:tr>
        <w:tc>
          <w:tcPr>
            <w:tcW w:type="dxa" w:w="465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"Korelasyon kırılması mekanizmasını bulduk"</w:t>
            </w:r>
          </w:p>
        </w:tc>
        <w:tc>
          <w:tcPr>
            <w:tcW w:type="dxa" w:w="465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"Başarısızlık mekanizmasını korelasyon kırılması olarak ablasyon testleriyle gösterdik"</w:t>
            </w:r>
          </w:p>
        </w:tc>
      </w:tr>
      <w:tr>
        <w:tc>
          <w:tcPr>
            <w:tcW w:type="dxa" w:w="465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"118/120 sistematik anti-prediktif"</w:t>
            </w:r>
          </w:p>
        </w:tc>
        <w:tc>
          <w:tcPr>
            <w:tcW w:type="dxa" w:w="465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"118/120 hiperparametre konfigürasyonunda gözlemlendi" (bağımsız değil)</w:t>
            </w:r>
          </w:p>
        </w:tc>
      </w:tr>
      <w:tr>
        <w:tc>
          <w:tcPr>
            <w:tcW w:type="dxa" w:w="465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"Model sinyal yakalamış ama tersine kullanıyor"</w:t>
            </w:r>
          </w:p>
        </w:tc>
        <w:tc>
          <w:tcPr>
            <w:tcW w:type="dxa" w:w="465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"Model sistematik olarak yanlış yönde tahmin üretiyor"</w:t>
            </w:r>
          </w:p>
        </w:tc>
      </w:tr>
    </w:tbl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10.3 TÜBİTAK 2209-A Hazırlık Durumu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06"/>
      </w:tblGrid>
      <w:tr>
        <w:trPr>
          <w:tblHeader/>
        </w:trPr>
        <w:tc>
          <w:tcPr>
            <w:tcW w:type="dxa" w:w="45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Kriter</w:t>
            </w:r>
          </w:p>
        </w:tc>
        <w:tc>
          <w:tcPr>
            <w:tcW w:type="dxa" w:w="4806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Değerlendirme</w:t>
            </w:r>
          </w:p>
        </w:tc>
      </w:tr>
      <w:tr>
        <w:tc>
          <w:tcPr>
            <w:tcW w:type="dxa" w:w="4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Metodoloji kalitesi</w:t>
            </w:r>
          </w:p>
        </w:tc>
        <w:tc>
          <w:tcPr>
            <w:tcW w:type="dxa" w:w="4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10 / 10 — lisans için olağanüstü</w:t>
            </w:r>
          </w:p>
        </w:tc>
      </w:tr>
      <w:tr>
        <w:tc>
          <w:tcPr>
            <w:tcW w:type="dxa" w:w="4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Bulguların yeniliği</w:t>
            </w:r>
          </w:p>
        </w:tc>
        <w:tc>
          <w:tcPr>
            <w:tcW w:type="dxa" w:w="4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4 / 10 — çoğu bilinen, framing kısmen yeni</w:t>
            </w:r>
          </w:p>
        </w:tc>
      </w:tr>
      <w:tr>
        <w:tc>
          <w:tcPr>
            <w:tcW w:type="dxa" w:w="4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TÜBİTAK geçerliliği</w:t>
            </w:r>
          </w:p>
        </w:tc>
        <w:tc>
          <w:tcPr>
            <w:tcW w:type="dxa" w:w="4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8 / 10 — dürüst frame ile güçlü</w:t>
            </w:r>
          </w:p>
        </w:tc>
      </w:tr>
      <w:tr>
        <w:tc>
          <w:tcPr>
            <w:tcW w:type="dxa" w:w="4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Overclaim riski</w:t>
            </w:r>
          </w:p>
        </w:tc>
        <w:tc>
          <w:tcPr>
            <w:tcW w:type="dxa" w:w="4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4 / 10 → düzeltildi</w:t>
            </w:r>
          </w:p>
        </w:tc>
      </w:tr>
      <w:tr>
        <w:tc>
          <w:tcPr>
            <w:tcW w:type="dxa" w:w="4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Reprodüsibilite</w:t>
            </w:r>
          </w:p>
        </w:tc>
        <w:tc>
          <w:tcPr>
            <w:tcW w:type="dxa" w:w="4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1F2330"/>
                <w:sz w:val="20"/>
                <w:szCs w:val="20"/>
              </w:rPr>
              <w:t xml:space="preserve">10 / 10 — tüm scriptler ve CSV’ler depoda</w:t>
            </w:r>
          </w:p>
        </w:tc>
      </w:tr>
      <w:tr>
        <w:tc>
          <w:tcPr>
            <w:tcW w:type="dxa" w:w="450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GENEL HAZIRLIK</w:t>
            </w:r>
          </w:p>
        </w:tc>
        <w:tc>
          <w:tcPr>
            <w:tcW w:type="dxa" w:w="48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4F6F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A3E"/>
                <w:sz w:val="22"/>
                <w:szCs w:val="22"/>
              </w:rPr>
              <w:t xml:space="preserve">%100 — Gönderilmeye Hazır (24 Mayıs 2026 itibarıyla)</w:t>
            </w:r>
          </w:p>
        </w:tc>
      </w:tr>
    </w:tbl>
    <w:p>
      <w:r>
        <w:br w:type="page"/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06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68900" w:val="clear"/>
            <w:tcMar>
              <w:top w:type="dxa" w:w="240"/>
              <w:left w:type="dxa" w:w="20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6"/>
                <w:szCs w:val="56"/>
              </w:rPr>
              <w:t xml:space="preserve">A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val="clear"/>
            <w:tcMar>
              <w:top w:type="dxa" w:w="240"/>
              <w:left w:type="dxa" w:w="360"/>
              <w:bottom w:type="dxa" w:w="2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B68900"/>
                <w:spacing w:val="60"/>
                <w:sz w:val="16"/>
                <w:szCs w:val="16"/>
              </w:rPr>
              <w:t xml:space="preserve">EK</w:t>
            </w:r>
          </w:p>
          <w:p>
            <w:pPr>
              <w:spacing w:after="0" w:before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6"/>
                <w:szCs w:val="36"/>
              </w:rPr>
              <w:t xml:space="preserve">Genişletilmiş Görsel Analizler</w:t>
            </w:r>
          </w:p>
        </w:tc>
      </w:tr>
    </w:tbl>
    <w:p>
      <w:pPr>
        <w:pStyle w:val="Heading1"/>
        <w:spacing w:after="200" w:before="0"/>
      </w:pPr>
      <w:r>
        <w:rPr>
          <w:rFonts w:ascii="Cambria" w:cs="Cambria" w:eastAsia="Cambria" w:hAnsi="Cambria"/>
          <w:color w:val="FFFFFF"/>
          <w:sz w:val="4"/>
          <w:szCs w:val="4"/>
        </w:rPr>
        <w:t xml:space="preserve">Genişletilmiş Görsel Analizler</w:t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Bu ek, ana metinde yer alan 20 grafiğin yanı sıra Sonuclar/summaries/ ve Sonuclar/diagnostics/ klasörlerinden doğrudan üretilmiş 10 ek görseli sunar. Tüm grafikler başlıksızdır (her birinin altyazısı CSV kaynağını ve istatistiksel iddiayı içerir); yayın hazırlığında doğrudan kullanılmak üzere 300 DPI çözünürlükte saklanmıştır.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A.1 Walk-Forward Fold Bazlı Sensitivity–Specificity Dağılımı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21_WalkForward_SensSpec_Scatter.png" descr="Şekil 21. 7 walk-forward fold için Sens vs Spec dağılımı; renk = fold Accuracy. Fold 2 (kriz dönemi) sağ-alt köşeden uzaklaşmış: Sens 0,535 / Spec 0,314 — model bu fold’da Down sınıfını ciddi şekilde ıskalıyor. Kaynak: Sonuclar/summaries/mcaware_pooled_confusion_by_fold.csv" title="Şekil 21. 7 walk-forward fold için Sens vs Spec dağılımı; renk = fold Accuracy. Fold 2 (kriz dönemi) sağ-alt köşeden uzaklaşmış: Sens 0,535 / Spec 0,314 — model bu fold’da Down sınıfını ciddi şekilde ıskalıyor. Kaynak: Sonuclar/summaries/mcaware_pooled_confusion_by_fold.cs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21. 7 walk-forward fold için Sens vs Spec dağılımı; renk = fold Accuracy. Fold 2 (kriz dönemi) sağ-alt köşeden uzaklaşmış: Sens 0,535 / Spec 0,314 — model bu fold’da Down sınıfını ciddi şekilde ıskalıyor. Kaynak: Sonuclar/summaries/mcaware_pooled_confusion_by_fold.csv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A.2 Tek-Değişken Feature Ablasyonu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22_SingleFeat_Ablation.png" descr="Şekil 22. full_13 vs no_Oil_12 vs no_TCMB_12 vs no_USDTRY_12 vs no_ext_10 karşılaştırması (3 seed). Tek değişken çıkarmak (no_Oil, no_TCMB, no_USDTRY) etkiyi gevşetir ancak ortadan kaldırmaz (3/3 flip_wins). Üçü birlikte çıkarıldığında (no_ext_10) anti-prediktif etki tamamen kayboluyor (0/3). Etkinin kombine olduğunun doğrudan kanıtı. Kaynak: Sonuclar/summaries/mcaware_single_feat_ablation_SUMMARY.csv" title="Şekil 22. full_13 vs no_Oil_12 vs no_TCMB_12 vs no_USDTRY_12 vs no_ext_10 karşılaştırması (3 seed). Tek değişken çıkarmak (no_Oil, no_TCMB, no_USDTRY) etkiyi gevşetir ancak ortadan kaldırmaz (3/3 flip_wins). Üçü birlikte çıkarıldığında (no_ext_10) anti-prediktif etki tamamen kayboluyor (0/3). Etkinin kombine olduğunun doğrudan kanıtı. Kaynak: Sonuclar/summaries/mcaware_single_feat_ablation_SUMMARY.cs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22. full_13 vs no_Oil_12 vs no_TCMB_12 vs no_USDTRY_12 vs no_ext_10 karşılaştırması (3 seed). Tek değişken çıkarmak (no_Oil, no_TCMB, no_USDTRY) etkiyi gevşetir ancak ortadan kaldırmaz (3/3 flip_wins). Üçü birlikte çıkarıldığında (no_ext_10) anti-prediktif etki tamamen kayboluyor (0/3). Etkinin kombine olduğunun doğrudan kanıtı. Kaynak: Sonuclar/summaries/mcaware_single_feat_ablation_SUMMARY.csv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A.3 λ Hassasiyeti — 5 BiLSTM Varyantı</w:t>
      </w:r>
    </w:p>
    <w:p>
      <w:pPr>
        <w:spacing w:after="60" w:before="280"/>
        <w:jc w:val="center"/>
      </w:pPr>
      <w:r>
        <w:drawing>
          <wp:inline distT="0" distB="0" distL="0" distR="0">
            <wp:extent cx="6096000" cy="2667000"/>
            <wp:effectExtent t="0" r="0" b="0" l="0"/>
            <wp:docPr id="1" name="23_Lambda_Acc_FlipAcc.png" descr="Şekil 23. λ ∈ {0,00; 0,05; 0,10} için 5 BiLSTM varyantının Acc ve Flip Acc değerlerinin değişimi. Tüm varyantlarda λ’nın etkisi ihmal edilebilir düzeydedir — λ, CW=balanced varlığında işlevsel olarak redundant. Kaynak: Sonuclar/summaries/mcaware_BiLSTM_v3{THYAO,b_window,b_GARAN,c_no_cw}_SUMMARY.csv + mcaware_BiLSTM_attn_v6_SUMMARY.csv" title="Şekil 23. λ ∈ {0,00; 0,05; 0,10} için 5 BiLSTM varyantının Acc ve Flip Acc değerlerinin değişimi. Tüm varyantlarda λ’nın etkisi ihmal edilebilir düzeydedir — λ, CW=balanced varlığında işlevsel olarak redundant. Kaynak: Sonuclar/summaries/mcaware_BiLSTM_v3{THYAO,b_window,b_GARAN,c_no_cw}_SUMMARY.csv + mcaware_BiLSTM_attn_v6_SUMMARY.cs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23. λ ∈ {0,00; 0,05; 0,10} için 5 BiLSTM varyantının Acc ve Flip Acc değerlerinin değişimi. Tüm varyantlarda λ’nın etkisi ihmal edilebilir düzeydedir — λ, CW=balanced varlığında işlevsel olarak redundant. Kaynak: Sonuclar/summaries/mcaware_BiLSTM_v3{THYAO,b_window,b_GARAN,c_no_cw}_SUMMARY.csv + mcaware_BiLSTM_attn_v6_SUMMARY.csv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A.4 Sigorta vs Holding — Hisse Bazında strict_anti_pred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24_Sigorta_vs_Holding_PerStock.png" descr="Şekil 24. Hisse bazlı sıkı anti-prediktif konfigürasyon sayıları (5 seed üzerinden). Sigortada AKGRT 4/5 ve ANSGR 5/5; holdingte tek bir hisse dahi sıkı kriteri sağlamıyor (0/5). Fisher exact iki yanlı p yaklaşık 0,44 — ön kanıt seviyesinde, ispat değil. Kaynak: mcaware_bist5_sigorta_v2_SUMMARY.csv + mcaware_bist5_holding_STRICT.csv" title="Şekil 24. Hisse bazlı sıkı anti-prediktif konfigürasyon sayıları (5 seed üzerinden). Sigortada AKGRT 4/5 ve ANSGR 5/5; holdingte tek bir hisse dahi sıkı kriteri sağlamıyor (0/5). Fisher exact iki yanlı p yaklaşık 0,44 — ön kanıt seviyesinde, ispat değil. Kaynak: mcaware_bist5_sigorta_v2_SUMMARY.csv + mcaware_bist5_holding_STRICT.cs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24. Hisse bazlı sıkı anti-prediktif konfigürasyon sayıları (5 seed üzerinden). Sigortada AKGRT 4/5 ve ANSGR 5/5; holdingte tek bir hisse dahi sıkı kriteri sağlamıyor (0/5). Fisher exact iki yanlı p yaklaşık 0,44 — ön kanıt seviyesinde, ispat değil. Kaynak: mcaware_bist5_sigorta_v2_SUMMARY.csv + mcaware_bist5_holding_STRICT.csv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A.5 Mimari İkilileri — McNemar p-Değer Matrisi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25_McNemar_Matrix.png" descr="Şekil 25. Tüm mimari çiftleri için McNemar chi-kare testi p-değerleri (renk = -log10 p). 15 çiftten 6 tanesi p &lt; 0,05 (SimpleRNN-GRU, SimpleRNN-TCN, SimpleRNN-BiLSTM, GRU-Transformer, TCN-Transformer, Conv1D-Transformer, Transformer-BiLSTM). Yorum: Mimariler arasında derece farkı vardır; ancak hepsi aynı yönde (anti-prediktif) ortak hata yapmaktadır. Kaynak: Sonuclar/diagnostics/mcaware_multi_arch_McNEMAR.csv" title="Şekil 25. Tüm mimari çiftleri için McNemar chi-kare testi p-değerleri (renk = -log10 p). 15 çiftten 6 tanesi p &lt; 0,05 (SimpleRNN-GRU, SimpleRNN-TCN, SimpleRNN-BiLSTM, GRU-Transformer, TCN-Transformer, Conv1D-Transformer, Transformer-BiLSTM). Yorum: Mimariler arasında derece farkı vardır; ancak hepsi aynı yönde (anti-prediktif) ortak hata yapmaktadır. Kaynak: Sonuclar/diagnostics/mcaware_multi_arch_McNEMAR.cs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25. Tüm mimari çiftleri için McNemar chi-kare testi p-değerleri (renk = -log10 p). 15 çiftten 6 tanesi p &lt; 0,05 (SimpleRNN-GRU, SimpleRNN-TCN, SimpleRNN-BiLSTM, GRU-Transformer, TCN-Transformer, Conv1D-Transformer, Transformer-BiLSTM). Yorum: Mimariler arasında derece farkı vardır; ancak hepsi aynı yönde (anti-prediktif) ortak hata yapmaktadır. Kaynak: Sonuclar/diagnostics/mcaware_multi_arch_McNEMAR.csv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A.6 BES Fon Karşılaştırması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26_BES_Fund_AccComparison.png" descr="Şekil 26. ALZ / AZS / AMZ üç BES fonu için Naive, Mean Acc ve Mean Flip Acc. ALZ dejenerate (Naive = 1,0; tüm konfigürasyonda MC = 15/15); AZS ve AMZ Naive altında kalıyor ancak flip_wins = 0/15 (anti-prediktif etki yok). Bulgu THYAO günlük verisine özgüdür; BES haftalık verisine transfer olmamaktadır. Kaynak: Sonuclar/summaries/mcaware_BiLSTM_v3b_BES_CROSS_FUND_SUMMARY.csv" title="Şekil 26. ALZ / AZS / AMZ üç BES fonu için Naive, Mean Acc ve Mean Flip Acc. ALZ dejenerate (Naive = 1,0; tüm konfigürasyonda MC = 15/15); AZS ve AMZ Naive altında kalıyor ancak flip_wins = 0/15 (anti-prediktif etki yok). Bulgu THYAO günlük verisine özgüdür; BES haftalık verisine transfer olmamaktadır. Kaynak: Sonuclar/summaries/mcaware_BiLSTM_v3b_BES_CROSS_FUND_SUMMARY.cs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26. ALZ / AZS / AMZ üç BES fonu için Naive, Mean Acc ve Mean Flip Acc. ALZ dejenerate (Naive = 1,0; tüm konfigürasyonda MC = 15/15); AZS ve AMZ Naive altında kalıyor ancak flip_wins = 0/15 (anti-prediktif etki yok). Bulgu THYAO günlük verisine özgüdür; BES haftalık verisine transfer olmamaktadır. Kaynak: Sonuclar/summaries/mcaware_BiLSTM_v3b_BES_CROSS_FUND_SUMMARY.csv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A.7 Teknik Göstergeler — Accuracy ve Up Sinyal Oranı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27_TechIndicators_AccUpRatio.png" descr="Şekil 27. 11 teknik göstergenin Accuracy değerleri (yatay bar, yeşil = beats_naive) ve Up sinyal oranları (altın elmas). 10/11 gösterge Naive üzeri; SMA_Cross (0,87) dikkat çekici (tek pencere; genelleme için ayrı doğrulama gerekir). ROC tek istisna (Up oranı 1,000 yani tek yönlü; geçemiyor). Kaynak: Sonuclar/summaries/mcaware_majority_rules_10ind_SUMMARY.csv" title="Şekil 27. 11 teknik göstergenin Accuracy değerleri (yatay bar, yeşil = beats_naive) ve Up sinyal oranları (altın elmas). 10/11 gösterge Naive üzeri; SMA_Cross (0,87) dikkat çekici (tek pencere; genelleme için ayrı doğrulama gerekir). ROC tek istisna (Up oranı 1,000 yani tek yönlü; geçemiyor). Kaynak: Sonuclar/summaries/mcaware_majority_rules_10ind_SUMMARY.cs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27. 11 teknik göstergenin Accuracy değerleri (yatay bar, yeşil = beats_naive) ve Up sinyal oranları (altın elmas). 10/11 gösterge Naive üzeri; SMA_Cross (0,87) dikkat çekici (tek pencere; genelleme için ayrı doğrulama gerekir). ROC tek istisna (Up oranı 1,000 yani tek yönlü; geçemiyor). Kaynak: Sonuclar/summaries/mcaware_majority_rules_10ind_SUMMARY.csv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A.8 NASDAQ AAPL vs BIST THYAO — Feature Grubu Karşılaştırması</w:t>
      </w:r>
    </w:p>
    <w:p>
      <w:pPr>
        <w:spacing w:after="60" w:before="280"/>
        <w:jc w:val="center"/>
      </w:pPr>
      <w:r>
        <w:drawing>
          <wp:inline distT="0" distB="0" distL="0" distR="0">
            <wp:extent cx="6096000" cy="2762250"/>
            <wp:effectExtent t="0" r="0" b="0" l="0"/>
            <wp:docPr id="1" name="28_AAPL_vs_THYAO_GroupCompare.png" descr="Şekil 28. THYAO (sol) ve AAPL (sağ) için full_13 vs no_ext_10 ablasyonu. THYAO full_13 te flip_wins = 1/1; AAPL hiçbir grupta flip &gt; Naive üretmiyor (0/3 her iki grupta). Anti-prediktif rejim gelişmiş piyasaya transfer olmuyor; gelişmekte olan piyasaya özgülük argümanını destekler. Kaynak: Sonuclar/summaries/mcaware_nasdaq_SUMMARY.csv" title="Şekil 28. THYAO (sol) ve AAPL (sağ) için full_13 vs no_ext_10 ablasyonu. THYAO full_13 te flip_wins = 1/1; AAPL hiçbir grupta flip &gt; Naive üretmiyor (0/3 her iki grupta). Anti-prediktif rejim gelişmiş piyasaya transfer olmuyor; gelişmekte olan piyasaya özgülük argümanını destekler. Kaynak: Sonuclar/summaries/mcaware_nasdaq_SUMMARY.cs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28. THYAO (sol) ve AAPL (sağ) için full_13 vs no_ext_10 ablasyonu. THYAO full_13 te flip_wins = 1/1; AAPL hiçbir grupta flip &gt; Naive üretmiyor (0/3 her iki grupta). Anti-prediktif rejim gelişmiş piyasaya transfer olmuyor; gelişmekte olan piyasaya özgülük argümanını destekler. Kaynak: Sonuclar/summaries/mcaware_nasdaq_SUMMARY.csv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A.9 Hisse Bazlı Sınıf Dengesizliği (Naive Baseline Haritası)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29_PerStock_NaiveBaseline.png" descr="Şekil 29. 13 BIST hissesinin Naive Accuracy değerleri sektör bazında renklendirilmiş. Naive 0,44-0,55 aralığında dağılmaktadır; BIST hisselerinde sınıf dengesizliği MC tuzağını tetiklemeye yetecek kadar belirgin değildir. Bu, raporlanan mc_count = 0 sonuçlarıyla tutarlıdır. Kaynak: bist5_sigorta_v2 + bist5_holding + bist_multi_stock SUMMARY CSV dosyaları" title="Şekil 29. 13 BIST hissesinin Naive Accuracy değerleri sektör bazında renklendirilmiş. Naive 0,44-0,55 aralığında dağılmaktadır; BIST hisselerinde sınıf dengesizliği MC tuzağını tetiklemeye yetecek kadar belirgin değildir. Bu, raporlanan mc_count = 0 sonuçlarıyla tutarlıdır. Kaynak: bist5_sigorta_v2 + bist5_holding + bist_multi_stock SUMMARY CSV dosya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29. 13 BIST hissesinin Naive Accuracy değerleri sektör bazında renklendirilmiş. Naive 0,44-0,55 aralığında dağılmaktadır; BIST hisselerinde sınıf dengesizliği MC tuzağını tetiklemeye yetecek kadar belirgin değildir. Bu, raporlanan mc_count = 0 sonuçlarıyla tutarlıdır. Kaynak: bist5_sigorta_v2 + bist5_holding + bist_multi_stock SUMMARY CSV dosyaları</w:t>
      </w:r>
    </w:p>
    <w:p>
      <w:pPr>
        <w:pStyle w:val="Heading2"/>
        <w:pBdr>
          <w:bottom w:val="single" w:color="B68900" w:sz="8" w:space="4"/>
        </w:pBdr>
        <w:spacing w:after="140" w:before="360"/>
      </w:pPr>
      <w:r>
        <w:rPr>
          <w:rFonts w:ascii="Cambria" w:cs="Cambria" w:eastAsia="Cambria" w:hAnsi="Cambria"/>
          <w:b/>
          <w:bCs/>
          <w:color w:val="0B2545"/>
          <w:sz w:val="28"/>
          <w:szCs w:val="28"/>
        </w:rPr>
        <w:t xml:space="preserve">A.10 Walk-Forward x 6 Mimari — Fold Bazlı Anti-Pred Sayımı</w:t>
      </w:r>
    </w:p>
    <w:p>
      <w:pPr>
        <w:spacing w:after="60" w:before="280"/>
        <w:jc w:val="center"/>
      </w:pPr>
      <w:r>
        <w:drawing>
          <wp:inline distT="0" distB="0" distL="0" distR="0">
            <wp:extent cx="4953000" cy="2952750"/>
            <wp:effectExtent t="0" r="0" b="0" l="0"/>
            <wp:docPr id="1" name="30_WalkForward_FoldByFold.png" descr="Şekil 30. Her fold için flip &gt; naive ve strict anti-pred sayan mimari sayısı (6 üzerinden); ikincil eksende fold Naive değeri (altın). Fold 2 (Ağustos 2018 kur krizi) 6/6 flip &gt; naive ve 5/6 sıkı anti-pred ile tek-split sonuçlarının ana kaynağıdır. Diğer foldlarda etki seyrek (0-2/6). Anti-prediktif rejim dönemsel ve rejim-bağımlıdır; evrensel değildir. Kaynak: Sonuclar/summaries/mcaware_walkforward_multi_arch_FOLD_SUMMARY.csv" title="Şekil 30. Her fold için flip &gt; naive ve strict anti-pred sayan mimari sayısı (6 üzerinden); ikincil eksende fold Naive değeri (altın). Fold 2 (Ağustos 2018 kur krizi) 6/6 flip &gt; naive ve 5/6 sıkı anti-pred ile tek-split sonuçlarının ana kaynağıdır. Diğer foldlarda etki seyrek (0-2/6). Anti-prediktif rejim dönemsel ve rejim-bağımlıdır; evrensel değildir. Kaynak: Sonuclar/summaries/mcaware_walkforward_multi_arch_FOLD_SUMMARY.cs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68900" w:sz="6" w:space="4"/>
        </w:pBdr>
        <w:spacing w:after="280" w:before="0"/>
        <w:jc w:val="center"/>
      </w:pPr>
      <w:r>
        <w:rPr>
          <w:rFonts w:ascii="Cambria" w:cs="Cambria" w:eastAsia="Cambria" w:hAnsi="Cambria"/>
          <w:i/>
          <w:iCs/>
          <w:color w:val="5B6273"/>
          <w:sz w:val="18"/>
          <w:szCs w:val="18"/>
        </w:rPr>
        <w:t xml:space="preserve">Şekil 30. Her fold için flip &gt; naive ve strict anti-pred sayan mimari sayısı (6 üzerinden); ikincil eksende fold Naive değeri (altın). Fold 2 (Ağustos 2018 kur krizi) 6/6 flip &gt; naive ve 5/6 sıkı anti-pred ile tek-split sonuçlarının ana kaynağıdır. Diğer foldlarda etki seyrek (0-2/6). Anti-prediktif rejim dönemsel ve rejim-bağımlıdır; evrensel değildir. Kaynak: Sonuclar/summaries/mcaware_walkforward_multi_arch_FOLD_SUMMARY.csv</w:t>
      </w:r>
    </w:p>
    <w:p>
      <w:r>
        <w:br w:type="page"/>
      </w:r>
    </w:p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 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c>
          <w:tcPr>
            <w:tcW w:type="dxa" w:w="9306"/>
            <w:tcBorders>
              <w:top w:val="single" w:color="EAF3EC" w:sz="4"/>
              <w:left w:val="single" w:color="2F6A3E" w:sz="36"/>
              <w:bottom w:val="single" w:color="EAF3EC" w:sz="4"/>
              <w:right w:val="single" w:color="EAF3EC" w:sz="4"/>
            </w:tcBorders>
            <w:shd w:fill="EAF3EC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100" w:before="0"/>
            </w:pPr>
            <w:r>
              <w:rPr>
                <w:rFonts w:ascii="Cambria" w:cs="Cambria" w:eastAsia="Cambria" w:hAnsi="Cambria"/>
                <w:b/>
                <w:bCs/>
                <w:color w:val="2F6A3E"/>
                <w:sz w:val="22"/>
                <w:szCs w:val="22"/>
              </w:rPr>
              <w:t xml:space="preserve">OK  Kapanış Notu</w:t>
            </w:r>
          </w:p>
          <w:p>
            <w:pPr>
              <w:spacing w:after="80" w:before="80" w:line="320"/>
            </w:pPr>
            <w:r>
              <w:rPr>
                <w:rFonts w:ascii="Calibri" w:cs="Calibri" w:eastAsia="Calibri" w:hAnsi="Calibri"/>
                <w:color w:val="1F2330"/>
                <w:sz w:val="22"/>
                <w:szCs w:val="22"/>
              </w:rPr>
              <w:t xml:space="preserve">Proje tamamlanmıştır. KARAR-10 kapatıldı (Y2 + Y4/Y5 birleşik tezi seçildi). Dashboard GitHub Pages üzerinde canlı yayındadır; tüm bilinen hatalar (B1-B18, E1-E6) giderilmiş, Gorseller/ klasörüne 10 ek görsel eklenmiştir (toplam 30). Sıradaki adımlar ADIM L (Haziran-Temmuz 2026 ek ablasyonlar), ADIM M (Word taslak) ve ADIM N (başvuru). Bu rapor, CSV ground-truth dosyalarına birebir uyumlu hale getirilmiştir; istenen herhangi bir sayı projedeki Sonuclar/summaries/ veya Sonuclar/diagnostics/ klasöründen doğrulanabilir.</w:t>
            </w:r>
          </w:p>
        </w:tc>
      </w:tr>
    </w:tbl>
    <w:p>
      <w:pPr>
        <w:spacing w:after="80" w:before="80" w:line="320"/>
      </w:pPr>
      <w:r>
        <w:rPr>
          <w:rFonts w:ascii="Calibri" w:cs="Calibri" w:eastAsia="Calibri" w:hAnsi="Calibri"/>
          <w:color w:val="1F2330"/>
          <w:sz w:val="22"/>
          <w:szCs w:val="22"/>
        </w:rPr>
        <w:t xml:space="preserve"> </w:t>
      </w:r>
    </w:p>
    <w:p>
      <w:pPr>
        <w:spacing w:after="80" w:before="80" w:line="320"/>
        <w:jc w:val="center"/>
      </w:pPr>
      <w:r>
        <w:rPr>
          <w:rFonts w:ascii="Calibri" w:cs="Calibri" w:eastAsia="Calibri" w:hAnsi="Calibri"/>
          <w:i/>
          <w:iCs/>
          <w:color w:val="5B6273"/>
          <w:sz w:val="22"/>
          <w:szCs w:val="22"/>
        </w:rPr>
        <w:t xml:space="preserve">Belge versiyonu: v7 NIHAI - 25 Mayis 2026 - CSV-Sync OK - A4 - Kapak + Icindekiler + 10 bolum + Ek-A (30 gorsel)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68900" w:sz="8" w:space="4"/>
      </w:pBdr>
      <w:tabs>
        <w:tab w:val="right" w:pos="9306"/>
      </w:tabs>
    </w:pPr>
    <w:r>
      <w:rPr>
        <w:rFonts w:ascii="Calibri" w:cs="Calibri" w:eastAsia="Calibri" w:hAnsi="Calibri"/>
        <w:color w:val="5B6273"/>
        <w:sz w:val="16"/>
        <w:szCs w:val="16"/>
      </w:rPr>
      <w:t xml:space="preserve">Kurt - Demir - Karadag Erdemir</w:t>
    </w:r>
    <w:r>
      <w:rPr>
        <w:rFonts w:ascii="Calibri" w:cs="Calibri" w:eastAsia="Calibri" w:hAnsi="Calibri"/>
        <w:i/>
        <w:iCs/>
        <w:color w:val="5B6273"/>
        <w:sz w:val="16"/>
        <w:szCs w:val="16"/>
      </w:rPr>
      <w:t xml:space="preserve">   -   25 Mayis 2026</w:t>
    </w:r>
    <w:r>
      <w:rPr>
        <w:rFonts w:ascii="Calibri" w:cs="Calibri" w:eastAsia="Calibri" w:hAnsi="Calibri"/>
        <w:color w:val="5B6273"/>
        <w:sz w:val="16"/>
        <w:szCs w:val="16"/>
      </w:rPr>
      <w:t xml:space="preserve">	Sayfa </w:t>
    </w:r>
    <w:r>
      <w:rPr>
        <w:rFonts w:ascii="Calibri" w:cs="Calibri" w:eastAsia="Calibri" w:hAnsi="Calibri"/>
        <w:b/>
        <w:bCs/>
        <w:color w:val="0B254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273"/>
        <w:sz w:val="16"/>
        <w:szCs w:val="16"/>
      </w:rPr>
      <w:t xml:space="preserve"> / </w:t>
    </w:r>
    <w:r>
      <w:rPr>
        <w:rFonts w:ascii="Calibri" w:cs="Calibri" w:eastAsia="Calibri" w:hAnsi="Calibri"/>
        <w:color w:val="5B627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68900" w:sz="8" w:space="4"/>
      </w:pBdr>
      <w:tabs>
        <w:tab w:val="right" w:pos="9306"/>
      </w:tabs>
      <w:jc w:val="left"/>
    </w:pPr>
    <w:r>
      <w:rPr>
        <w:rFonts w:ascii="Cambria" w:cs="Cambria" w:eastAsia="Cambria" w:hAnsi="Cambria"/>
        <w:b/>
        <w:bCs/>
        <w:color w:val="0B2545"/>
        <w:sz w:val="18"/>
        <w:szCs w:val="18"/>
      </w:rPr>
      <w:t xml:space="preserve">TUBITAK 2209-A</w:t>
    </w:r>
    <w:r>
      <w:rPr>
        <w:rFonts w:ascii="Calibri" w:cs="Calibri" w:eastAsia="Calibri" w:hAnsi="Calibri"/>
        <w:color w:val="5B6273"/>
        <w:spacing w:val="60"/>
        <w:sz w:val="16"/>
        <w:szCs w:val="16"/>
      </w:rPr>
      <w:t xml:space="preserve">   |   MC-AWARE PROJESI</w:t>
    </w:r>
    <w:r>
      <w:rPr>
        <w:rFonts w:ascii="Calibri" w:cs="Calibri" w:eastAsia="Calibri" w:hAnsi="Calibri"/>
        <w:color w:val="B68900"/>
        <w:spacing w:val="80"/>
        <w:sz w:val="16"/>
        <w:szCs w:val="16"/>
      </w:rPr>
      <w:t xml:space="preserve">	DURUM RAPORU - v7 NIHAI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40" w:hanging="300"/>
      </w:pPr>
      <w:rPr>
        <w:b/>
        <w:bCs/>
        <w:color w:val="B68900"/>
      </w:rPr>
    </w:lvl>
    <w:lvl w:ilvl="1" w15:tentative="1">
      <w:start w:val="1"/>
      <w:numFmt w:val="bullet"/>
      <w:lvlText w:val="•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0"/>
      <w:outlineLvl w:val="0"/>
    </w:pPr>
    <w:rPr>
      <w:rFonts w:ascii="Cambria" w:cs="Cambria" w:eastAsia="Cambria" w:hAnsi="Cambria"/>
      <w:b/>
      <w:bCs/>
      <w:color w:val="FFFFFF"/>
      <w:sz w:val="4"/>
      <w:szCs w:val="4"/>
    </w:rPr>
  </w:style>
  <w:style w:type="paragraph" w:styleId="Heading2">
    <w:name w:val="Heading 2"/>
    <w:basedOn w:val="Normal"/>
    <w:next w:val="Normal"/>
    <w:qFormat/>
    <w:pPr>
      <w:spacing w:after="140" w:before="360"/>
      <w:outlineLvl w:val="1"/>
    </w:pPr>
    <w:rPr>
      <w:rFonts w:ascii="Cambria" w:cs="Cambria" w:eastAsia="Cambria" w:hAnsi="Cambria"/>
      <w:b/>
      <w:bCs/>
      <w:color w:val="0B2545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60"/>
      <w:outlineLvl w:val="2"/>
    </w:pPr>
    <w:rPr>
      <w:rFonts w:ascii="Cambria" w:cs="Cambria" w:eastAsia="Cambria" w:hAnsi="Cambria"/>
      <w:b/>
      <w:bCs/>
      <w:color w:val="1331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627dc98758d7fc6468a2d9e6c66ca233e71293f.png"/><Relationship Id="rId10" Type="http://schemas.openxmlformats.org/officeDocument/2006/relationships/image" Target="media/883480720208a33e9f1db6862b97477ce99a26e3.png"/><Relationship Id="rId11" Type="http://schemas.openxmlformats.org/officeDocument/2006/relationships/image" Target="media/b47d63057fff094072649b29132ec7d7dfb4a537.png"/><Relationship Id="rId12" Type="http://schemas.openxmlformats.org/officeDocument/2006/relationships/image" Target="media/3e028c935b557042bf0fb74cbf274e769f5387c5.png"/><Relationship Id="rId13" Type="http://schemas.openxmlformats.org/officeDocument/2006/relationships/image" Target="media/47012c4bb49f2c4115f34ae29d642b378559e881.png"/><Relationship Id="rId14" Type="http://schemas.openxmlformats.org/officeDocument/2006/relationships/image" Target="media/8f36e69af5ef437b255bf190359e532dfa832ecf.png"/><Relationship Id="rId15" Type="http://schemas.openxmlformats.org/officeDocument/2006/relationships/image" Target="media/2b00d5022e22ae26d7800c0f202cfbe9284dd99c.png"/><Relationship Id="rId16" Type="http://schemas.openxmlformats.org/officeDocument/2006/relationships/image" Target="media/7a45fe78e4f7ef46c28dc13bb73fe3d7bf0f105f.png"/><Relationship Id="rId17" Type="http://schemas.openxmlformats.org/officeDocument/2006/relationships/image" Target="media/6e53845800aa700c4b2501d3a0c7f83071318312.png"/><Relationship Id="rId18" Type="http://schemas.openxmlformats.org/officeDocument/2006/relationships/image" Target="media/298f4fe5a88dcb9967ce1d09e3ef25d423ef500d.png"/><Relationship Id="rId19" Type="http://schemas.openxmlformats.org/officeDocument/2006/relationships/image" Target="media/85e79de15181a9349fc2b6d642d763243bcc5ea0.png"/><Relationship Id="rId20" Type="http://schemas.openxmlformats.org/officeDocument/2006/relationships/image" Target="media/7d5c6474d25d2cac02c9cf21d6a3dc4061adae94.png"/><Relationship Id="rId21" Type="http://schemas.openxmlformats.org/officeDocument/2006/relationships/image" Target="media/018dd96a5990da1e30068be2b97462d1eff2c6ed.png"/><Relationship Id="rId22" Type="http://schemas.openxmlformats.org/officeDocument/2006/relationships/image" Target="media/a65c19437e73e33132f9653311000bbc46a9b0c6.png"/><Relationship Id="rId23" Type="http://schemas.openxmlformats.org/officeDocument/2006/relationships/image" Target="media/33c598f86be2a07f00356df4f8542878bc086e75.png"/><Relationship Id="rId24" Type="http://schemas.openxmlformats.org/officeDocument/2006/relationships/image" Target="media/4d5008b69cfa93d39724339802c780b3d473cbfc.png"/><Relationship Id="rId25" Type="http://schemas.openxmlformats.org/officeDocument/2006/relationships/image" Target="media/eed5eb493d70810a5b65e033882602c4a9dba84d.png"/><Relationship Id="rId26" Type="http://schemas.openxmlformats.org/officeDocument/2006/relationships/image" Target="media/10f803dd878b4cdffd20d04e8e84fcbdc39b5b90.png"/><Relationship Id="rId27" Type="http://schemas.openxmlformats.org/officeDocument/2006/relationships/image" Target="media/e60ea9410a8920bdf80d194f38dd29eac93d41a6.png"/><Relationship Id="rId28" Type="http://schemas.openxmlformats.org/officeDocument/2006/relationships/image" Target="media/c1608c98c9ae8ed737a5a1e9ad5b23d92b91a17e.png"/><Relationship Id="rId29" Type="http://schemas.openxmlformats.org/officeDocument/2006/relationships/image" Target="media/9cb2312e7bef61d6d351cc38c7364abd4cb87120.png"/><Relationship Id="rId30" Type="http://schemas.openxmlformats.org/officeDocument/2006/relationships/image" Target="media/5d57032eacc65121b9d6347f6f204008cb12ef06.png"/><Relationship Id="rId31" Type="http://schemas.openxmlformats.org/officeDocument/2006/relationships/image" Target="media/0e0b2e2b211b82b2ddf6a4d2107acdf01417d396.png"/><Relationship Id="rId32" Type="http://schemas.openxmlformats.org/officeDocument/2006/relationships/image" Target="media/628a63972fdeb3809bf4a1d8782bbd0da118b655.png"/><Relationship Id="rId33" Type="http://schemas.openxmlformats.org/officeDocument/2006/relationships/image" Target="media/35d7e8bc22750eb6ecd1bfeca84bbcbc666f0d9a.png"/><Relationship Id="rId34" Type="http://schemas.openxmlformats.org/officeDocument/2006/relationships/image" Target="media/5d57af6cd35aa0582e10fb6d868bd98a0c690eb4.png"/><Relationship Id="rId35" Type="http://schemas.openxmlformats.org/officeDocument/2006/relationships/image" Target="media/f52d7ff71cb66b61bf18dccfda404b3589adb7b1.png"/><Relationship Id="rId36" Type="http://schemas.openxmlformats.org/officeDocument/2006/relationships/image" Target="media/c015289d64b612b7af43b9f8243223142f2eb712.png"/><Relationship Id="rId37" Type="http://schemas.openxmlformats.org/officeDocument/2006/relationships/image" Target="media/69022a0e865d7bdb9e44ca99f1726712c4644a1f.png"/><Relationship Id="rId38" Type="http://schemas.openxmlformats.org/officeDocument/2006/relationships/image" Target="media/2b75ddccaaa70c397e5585a007a52696c93655b7.png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TUBITAK 2209-A Proje Durumu Raporu (v7 NIHAI)</dc:title>
  <dc:creator>Mehmet Ali KURT</dc:creator>
  <dc:description>MC-AWARE Projesi Durum Raporu - CSV ground-truth uyumlu</dc:description>
  <cp:lastModifiedBy>Un-named</cp:lastModifiedBy>
  <cp:revision>1</cp:revision>
  <dcterms:created xsi:type="dcterms:W3CDTF">2026-05-25T08:28:43.576Z</dcterms:created>
  <dcterms:modified xsi:type="dcterms:W3CDTF">2026-05-25T08:28:43.577Z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