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3A5C"/>
          <w:sz w:val="36"/>
        </w:rPr>
        <w:t>MC-AWARE: Derin Ogrenmede</w:t>
        <w:br/>
        <w:t>Anti-Prediktif Davranistin Tespiti</w:t>
      </w:r>
    </w:p>
    <w:p/>
    <w:p>
      <w:pPr>
        <w:jc w:val="center"/>
      </w:pPr>
      <w:r>
        <w:rPr>
          <w:i/>
          <w:color w:val="444444"/>
          <w:sz w:val="26"/>
        </w:rPr>
        <w:t>Literatur Taramasi ve Arastirmanin Kisitlari</w:t>
      </w:r>
    </w:p>
    <w:p/>
    <w:p>
      <w:pPr>
        <w:jc w:val="center"/>
      </w:pPr>
      <w:r>
        <w:rPr>
          <w:color w:val="666666"/>
          <w:sz w:val="20"/>
        </w:rPr>
        <w:t>TUBITAK 2209-A Lisans Arastirma Projesi</w:t>
      </w:r>
    </w:p>
    <w:p>
      <w:pPr>
        <w:jc w:val="center"/>
      </w:pPr>
      <w:r>
        <w:rPr>
          <w:color w:val="666666"/>
          <w:sz w:val="20"/>
        </w:rPr>
      </w:r>
    </w:p>
    <w:p>
      <w:pPr>
        <w:jc w:val="center"/>
      </w:pPr>
      <w:r>
        <w:rPr>
          <w:color w:val="666666"/>
          <w:sz w:val="20"/>
        </w:rPr>
        <w:t>Proje Yurutucusu: Mehmet Ali Kurt</w:t>
      </w:r>
    </w:p>
    <w:p>
      <w:pPr>
        <w:jc w:val="center"/>
      </w:pPr>
      <w:r>
        <w:rPr>
          <w:color w:val="666666"/>
          <w:sz w:val="20"/>
        </w:rPr>
        <w:t>Danisman: Ogr. Gor. Elif Ayaz</w:t>
      </w:r>
    </w:p>
    <w:p>
      <w:pPr>
        <w:jc w:val="center"/>
      </w:pPr>
      <w:r>
        <w:rPr>
          <w:color w:val="666666"/>
          <w:sz w:val="20"/>
        </w:rPr>
        <w:t>Kurum: Hacettepe Universitesi</w:t>
      </w:r>
    </w:p>
    <w:p>
      <w:pPr>
        <w:jc w:val="center"/>
      </w:pPr>
      <w:r>
        <w:rPr>
          <w:color w:val="666666"/>
          <w:sz w:val="20"/>
        </w:rPr>
      </w:r>
    </w:p>
    <w:p>
      <w:pPr>
        <w:jc w:val="center"/>
      </w:pPr>
      <w:r>
        <w:rPr>
          <w:color w:val="666666"/>
          <w:sz w:val="20"/>
        </w:rPr>
        <w:t>Haziran 2026</w:t>
      </w:r>
    </w:p>
    <w:p>
      <w:r>
        <w:br w:type="page"/>
      </w:r>
    </w:p>
    <w:p>
      <w:pPr>
        <w:ind w:firstLine="425"/>
      </w:pPr>
      <w:r>
        <w:t>2. LİTERATÜR TARAMASI VE PROJENİN TEORİK ÇERÇEVESİ</w:t>
      </w:r>
    </w:p>
    <w:p/>
    <w:p>
      <w:pPr>
        <w:pStyle w:val="Heading2"/>
      </w:pPr>
      <w:r>
        <w:t>2.1. Finansal Zaman Serilerinde Derin Öğrenme</w:t>
      </w:r>
    </w:p>
    <w:p/>
    <w:p>
      <w:pPr>
        <w:ind w:firstLine="425"/>
      </w:pPr>
      <w:r>
        <w:t>Finansal zaman serilerinin tahminlenmesinde derin öğrenme (DL) mimarilerinin, geleneksel makine öğrenmesi algoritmalarına kıyasla sağladığı üstünlük literatürde sıkça vurgulanmaktadır. Fischer ve Krauss (2018) yaptıkları çalışmada, Uzun Kısa Süreli Bellek (LSTM) ağlarının finansal yön tahmininde Random Forest gibi klasik modelleri geride bıraktığını belirtmiştir. Benzer şekilde, Sezer ve diğerleri (2020) kapsamlı bir tarama çalışmasında CNN, LSTM ve hibrit mimarilerin finansal tahmin görevlerinde giderek yaygınlaştığını raporlamıştır. Ancak projemizde BIST verisiyle gerçekleştirilen Klasik ML (Negatif Kontrol) testleri, derin öğrenme algoritmalarının gradiyent-tabanlı optimizasyonunun yüksek gürültülü makro-ortamlarda aşırı uyuma (overfitting) daha yatkın olduğunu; buna karşılık Random Forest gibi klasik karar ağaçlarının makro şoklardan daha az etkilendiğini göstermiştir. Bu bulgu, "DL her zaman daha iyidir" argümanını Gelişmekte Olan Piyasalar (Emerging Markets) perspektifinden sınırlandırmaktadır.</w:t>
      </w:r>
    </w:p>
    <w:p/>
    <w:p>
      <w:pPr>
        <w:ind w:firstLine="425"/>
      </w:pPr>
      <w:r>
        <w:t>Projemizde 6 farklı derin öğrenme mimarisi (BiLSTM, GRU, Conv1D, TCN, Transformer, SimpleRNN) sistematik olarak karşılaştırılmıştır. 700'den fazla konfigürasyonun tamamında, mimari türünden bağımsız olarak aynı anti-prediktif örüntünün tekrarlanması, sorunun belirli bir ağ yapısına değil, gradiyent-tabanlı öğrenmenin makro şok ortamlarındaki temel bir zafiyetine işaret etmektedir. Bu mimari-bağımsızlık bulgusu, Wen ve diğerleri (2022) tarafından tartışılan "Derin öğrenmede geri dönüşler azalıyor mu?" sorusuna pratik bir vaka çalışması sunmaktadır.</w:t>
      </w:r>
    </w:p>
    <w:p/>
    <w:p>
      <w:pPr>
        <w:pStyle w:val="Heading2"/>
      </w:pPr>
      <w:r>
        <w:t>2.2. Çoğunluk Sınıfı (Majority Class) Tuzağı ve Sınıf Dengesizliği</w:t>
      </w:r>
    </w:p>
    <w:p/>
    <w:p>
      <w:pPr>
        <w:ind w:firstLine="425"/>
      </w:pPr>
      <w:r>
        <w:t>Sınıf dengesizliği (class imbalance) problemi, He ve Garcia (2009) tarafından matematiksel temelleriyle incelenmiştir. Modellerin azınlık sınıfını görmezden gelerek çoğunluk sınıfına çökme (Majority Class) eğilimi, Krawczyk (2016) tarafından savunulan maliyet duyarlı öğrenme (cost-sensitive learning) ile aşılabilmektedir. Finansal yön tahmininde bu tuzak özellikle kritiktir: tipik bir BIST hissesinde "Yükseldi" günlerinin oranı %51-54 civarındadır. Model, hiçbir şey öğrenmeden sadece "Yükseldi" derse %52 doğruluk elde eder ve bu değer yanıltıcı biçimde "başarılı" gösterilir.</w:t>
      </w:r>
    </w:p>
    <w:p/>
    <w:p>
      <w:pPr>
        <w:ind w:firstLine="425"/>
      </w:pPr>
      <w:r>
        <w:t>Projemizde uygulanan sınıf ağırlıklandırma (class_weight=balanced) ve MC-Aware kayıp fonksiyonu yöntemi, modelin Sensitivity ve Specificity dengesini 700'den fazla konfigürasyonun tamamında sağlayarak, finansal veri setlerindeki yüzeysel "Accuracy (Doğruluk)" illüzyonunu literatüre uygun şekilde tamamen ortadan kaldırmıştır. 11 farklı BIST hissesinde, 3 farklı lambda değerinde ve 5 farklı rastgele başlangıç değerinde (seed) hiçbir MC çökmesi gözlemlenmemiştir (MC = 0 / 700+).</w:t>
      </w:r>
    </w:p>
    <w:p/>
    <w:p>
      <w:pPr>
        <w:pStyle w:val="Heading2"/>
      </w:pPr>
      <w:r>
        <w:t>2.3. Kısayol Öğrenme (Shortcut Learning) ve Kavram Kayması (Concept Drift)</w:t>
      </w:r>
    </w:p>
    <w:p/>
    <w:p>
      <w:pPr>
        <w:ind w:firstLine="425"/>
      </w:pPr>
      <w:r>
        <w:t>Modellerin asıl sinyali öğrenmek yerine verideki sahte kalıpları ezberlemesi (shortcut learning), Geirhos ve diğerleri (2020) tarafından test verisindeki sistematik hataların kaynağı olarak gösterilmiştir. Öte yandan, makroekonomik değişkenlerdeki eğitim ve test periyotları arasındaki korelasyon kırılmaları Gama ve diğerleri (2014) tarafından kavram kayması (concept drift) olarak tanımlanmıştır. Bu iki kavram, projemizin anti-prediktif bulgularının teorik omurgasını oluşturmaktadır.</w:t>
      </w:r>
    </w:p>
    <w:p/>
    <w:p>
      <w:pPr>
        <w:ind w:firstLine="425"/>
      </w:pPr>
      <w:r>
        <w:t>Projemizdeki Özellik Ablasyonu testleri, bu teorik çerçeveyi deneysel olarak doğrulamıştır. USDTRY, Brent Petrol ve TCMB Faiz Oranı değişkenleri veri setinden çıkarıldığında anti-prediktif eğilim tamamen kaybolmuş; modeller nötr (%50 civarı) performansa dönmüştür. Bu sonuç, shortcut learning ve concept drift fenomenlerini doğrudan Türkiye'nin makroekonomik dalgalanmalarıyla (özellikle Ağustos 2018 kur krizi, COVID-19 dönemi ve 2024-25 enflasyon şokları) deneysel olarak ilişkilendirmektedir.</w:t>
      </w:r>
    </w:p>
    <w:p/>
    <w:p>
      <w:pPr>
        <w:ind w:firstLine="425"/>
      </w:pPr>
      <w:r>
        <w:t>Tekli özellik ablasyonu sonuçları daha da aydınlatıcıdır: herhangi bir dış değişken tek başına çıkarıldığında anti-prediktif etki azalmamıştır. Bu, dış değişkenlerin birlikte bir sinerjik etki oluşturduğunu göstermekte ve literatürdeki "tek değişken sürücü" varsayımını geçersiz kılmaktadır.</w:t>
      </w:r>
    </w:p>
    <w:p/>
    <w:p>
      <w:pPr>
        <w:pStyle w:val="Heading2"/>
      </w:pPr>
      <w:r>
        <w:t>2.4. Gelişmekte Olan Piyasaların Kırılganlığı</w:t>
      </w:r>
    </w:p>
    <w:p/>
    <w:p>
      <w:pPr>
        <w:ind w:firstLine="425"/>
      </w:pPr>
      <w:r>
        <w:t>Gelişmekte olan piyasaların mikroyapısı, Bekaert ve Harvey (2002) tarafından makroekonomik şoklara ve kur dalgalanmalarına karşı yapısal olarak daha kırılgan olarak tanımlanmıştır. Bu kırılganlık, derin öğrenme modellerinin eğitim döneminde öğrendiği korelasyon yapısının test döneminde geçerliliğini yitirmesine zemin hazırlamaktadır. Projemizde uygulanan çapraz piyasa (cross-market) testleri bu teoriyi doğrudan desteklemektedir: aynı BiLSTM mimarisi NASDAQ (AAPL) verisinde olağan çalışırken, BIST (THYAO) verisinde sistematik olarak anti-prediktif davranış sergilemiştir.</w:t>
      </w:r>
    </w:p>
    <w:p/>
    <w:p>
      <w:pPr>
        <w:ind w:firstLine="425"/>
      </w:pPr>
      <w:r>
        <w:t>Genişletilmiş 11 hisselik BIST testleri, bu kırılganlığın sektörel bir örüntü izlediğini ortaya koymuştur:</w:t>
      </w:r>
    </w:p>
    <w:p>
      <w:pPr>
        <w:pStyle w:val="ListBullet"/>
      </w:pPr>
      <w:r>
        <w:t>Havacılık sektörü (THYAO, PGSUS): Dış şoklara (kur, petrol) aşırı duyarlı → %100 anti-prediktif (15/15 koşu, p &lt; 0.0001)</w:t>
      </w:r>
    </w:p>
    <w:p>
      <w:pPr>
        <w:pStyle w:val="ListBullet"/>
      </w:pPr>
      <w:r>
        <w:t>Spekülatif hisseler (SASA, HEKTS): Perakende yatırımcı hücumuna maruz → %100 anti-prediktif (15/15 koşu, p &lt; 0.0001)</w:t>
      </w:r>
    </w:p>
    <w:p>
      <w:pPr>
        <w:pStyle w:val="ListBullet"/>
      </w:pPr>
      <w:r>
        <w:t>Emtia/Demir-Çelik (KRDMD): Makro duyarlılık → Güçlü anti-prediktif (%87, 13/15, p = 0.0037)</w:t>
      </w:r>
    </w:p>
    <w:p>
      <w:pPr>
        <w:pStyle w:val="ListBullet"/>
      </w:pPr>
      <w:r>
        <w:t>Bankacılık (YKBNK, ISCTR): Kurumsal yapı, düzenleyici çerçeve → Normal davranış (flip &lt; naive)</w:t>
      </w:r>
    </w:p>
    <w:p>
      <w:pPr>
        <w:pStyle w:val="ListBullet"/>
      </w:pPr>
      <w:r>
        <w:t>Otomotiv/Ticaret (FROTO, DOAS): Güçlü bilanço, ihracat odaklı → Normal davranış</w:t>
      </w:r>
    </w:p>
    <w:p/>
    <w:p>
      <w:pPr>
        <w:ind w:firstLine="425"/>
      </w:pPr>
      <w:r>
        <w:t>Bu sektörel ayrışma, Bekaert ve Harvey'in "seçici kırılganlık" kavramını makine öğrenmesi bağlamında ilk kez ampirik olarak kanıtlamaktadır.</w:t>
      </w:r>
    </w:p>
    <w:p/>
    <w:p>
      <w:pPr>
        <w:pStyle w:val="Heading2"/>
      </w:pPr>
      <w:r>
        <w:t>2.5. Etkin Piyasa Hipotezi ve Anti-Prediktif Davranışın Konumu</w:t>
      </w:r>
    </w:p>
    <w:p/>
    <w:p>
      <w:pPr>
        <w:ind w:firstLine="425"/>
      </w:pPr>
      <w:r>
        <w:t>Piyasa etkinliği kuramları açısından Fama'nın (1970) Etkin Piyasa Hipotezi (EMH), fiyatların rastgele yürüyüş (random walk) sergilediğini savunur. Projemizde klasik ML algoritmalarının (Decision Tree, Random Forest, Logistic Regression) ve basit teknik göstergelerin dahi rastgele (Naive) tahmini zorlukla aşabilmesi, EMH'nin zayıf formda (weak-form) geçerliliğini desteklemektedir.</w:t>
      </w:r>
    </w:p>
    <w:p/>
    <w:p>
      <w:pPr>
        <w:ind w:firstLine="425"/>
      </w:pPr>
      <w:r>
        <w:t>Ancak derin öğrenme modellerinin şok dönemlerinde rastgele tahminden bile belirgin şekilde daha kötü performans sergilemesi (%40 doğruluk, yani %60 ters doğruluk), EMH çerçevesinde açıklanamayan yeni bir anomali kategorisi ortaya koymaktadır. Bu anti-prediktif davranış, EMH'nin kırılmasından ziyade, modellerin gürültülü verilerdeki sahte (spurious) korelasyonlara aşırı uyum sağladığını ve ardından bu korelasyonlar kırıldığında sistematik olarak yanlış yöne tahmin yaptığını göstermektedir. Bu yönüyle projemiz, Arjovsky ve diğerleri (2019) tarafından incelenen sahte korelasyon tehlikelerine BIST üzerinden kapsamlı bir ampirik örnek sunmaktadır.</w:t>
      </w:r>
    </w:p>
    <w:p/>
    <w:p>
      <w:pPr>
        <w:pStyle w:val="Heading2"/>
      </w:pPr>
      <w:r>
        <w:t>2.6. Pencere Uzunluğu ve Temporal Çözünürlük</w:t>
      </w:r>
    </w:p>
    <w:p/>
    <w:p>
      <w:pPr>
        <w:ind w:firstLine="425"/>
      </w:pPr>
      <w:r>
        <w:t>Projemizin IN_LEN (giriş penceresi uzunluğu) ablasyon testleri, literatürde az tartışılmış bir konuya yeni kanıtlar sunmaktadır. IN_LEN = 2 (son 2 gün) ve IN_LEN = 5 (son 5 gün) değerlerinde modelin 15/15 konfigürasyonda sistematik olarak anti-prediktif davranış sergilediği, ancak IN_LEN = 10'a (son 10 gün) çıkıldığında bu anomalinin tamamen ortadan kalktığı gösterilmiştir (0/15 anti-prediktif). Bu bulgu, kısa pencereli modellerin günlük mikro-gürültüden daha fazla etkilendiğini ve yeterli temporal bağlam sağlandığında modelin daha sağlam (robust) hâle geldiğini kanıtlamaktadır. Lütkepohl (2005) tarafından tartışılan zaman serisi modellemesinde pencere uzunluğu seçiminin kritikliği, projemizin sonuçlarıyla derin öğrenme bağlamında deneysel olarak pekiştirilmektedir.</w:t>
      </w:r>
    </w:p>
    <w:p/>
    <w:p>
      <w:pPr>
        <w:pStyle w:val="Heading2"/>
      </w:pPr>
      <w:r>
        <w:t>2.7. Walk-Forward Doğrulama ve Dönemsel Etki</w:t>
      </w:r>
    </w:p>
    <w:p/>
    <w:p>
      <w:pPr>
        <w:ind w:firstLine="425"/>
      </w:pPr>
      <w:r>
        <w:t>Zaman serisi analizlerinde standart k-fold çapraz doğrulamanın veri sızıntısına (data leakage) yol açtığı bilinmektedir (Torgo ve Mozetic, 2020). Projemizde uygulanan ileriye dönük (7-fold Walk-Forward v2) doğrulama metodu, literatürün bu katı kuralına uygun inşa edilmiştir. Düzeltilmiş versiyonda (v2) validasyon verisi eklenerek erken durdurma (early stopping) mekanizmasının doğru çalışması sağlanmıştır.</w:t>
      </w:r>
    </w:p>
    <w:p/>
    <w:p>
      <w:pPr>
        <w:ind w:firstLine="425"/>
      </w:pPr>
      <w:r>
        <w:t>7-fold Walk-Forward v2 analizinde, 6 mimari × 3 seed = 18 koşu/fold düzeniyle, anti-prediktif davranışın dönemsel bir örüntü izlediği tespit edilmiştir:</w:t>
      </w:r>
    </w:p>
    <w:p>
      <w:pPr>
        <w:pStyle w:val="ListBullet"/>
      </w:pPr>
      <w:r>
        <w:t>Fold 2 (2020 — COVID-19 krizi): 18/18 koşuda anti-prediktif → makro şok tetikleyici</w:t>
      </w:r>
    </w:p>
    <w:p>
      <w:pPr>
        <w:pStyle w:val="ListBullet"/>
      </w:pPr>
      <w:r>
        <w:t>Fold 3 (2020-21 — Toparlanma): 18/18 koşuda anti-prediktif → şokun devam etkisi</w:t>
      </w:r>
    </w:p>
    <w:p>
      <w:pPr>
        <w:pStyle w:val="ListBullet"/>
      </w:pPr>
      <w:r>
        <w:t>Fold 6-7 (2023-25 — Kur şoku ve enflasyon): 14-8/18 koşuda tetikleniyor</w:t>
      </w:r>
    </w:p>
    <w:p>
      <w:pPr>
        <w:pStyle w:val="ListBullet"/>
      </w:pPr>
      <w:r>
        <w:t>Fold 1, 4, 5 (Normal dönemler): 0/18 anti-prediktif → model sağlıklı çalışıyor</w:t>
      </w:r>
    </w:p>
    <w:p/>
    <w:p>
      <w:pPr>
        <w:ind w:firstLine="425"/>
      </w:pPr>
      <w:r>
        <w:t>Bu dönemsel harita, hataların yazılımsal değil, rejim-bağımlı (regime-dependent) bir kavram kaymasından kaynaklandığını akademik olarak ispatlamaktadır.</w:t>
      </w:r>
    </w:p>
    <w:p/>
    <w:p>
      <w:pPr>
        <w:pStyle w:val="Heading2"/>
      </w:pPr>
      <w:r>
        <w:t>2.8. Gürültü Tüccarı Riski ve Spekülatif Piyasa Dinamikleri</w:t>
      </w:r>
    </w:p>
    <w:p/>
    <w:p>
      <w:pPr>
        <w:ind w:firstLine="425"/>
      </w:pPr>
      <w:r>
        <w:t>Davranışsal finans ve piyasa mikroyapısı literatüründe, perakende (küçük) yatırımcıların aşırı spekülatif işlemleri "Gürültü Tüccarı Riski (Noise Trader Risk)" (De Long ve diğerleri, 1990) olarak tanımlanır. Bu risk, fiyatların temel değerlerden sapmasına ve geçici ama şiddetli anomalilere yol açar.</w:t>
      </w:r>
    </w:p>
    <w:p/>
    <w:p>
      <w:pPr>
        <w:ind w:firstLine="425"/>
      </w:pPr>
      <w:r>
        <w:t>Projemizde gerçekleştirilen genişletilmiş 11 hisselik nihai testlerde, Borsa İstanbul'un tarihsel olarak en yüksek spekülatif perakende hücumuna uğrayan SASA ve HEKTS hisselerinde BiLSTM modelinin %100 oranında (15/15 konfigürasyon) anti-prediktif çöküş yaşaması, De Long'un teorisinin makine öğrenmesi algoritmaları üzerindeki yıkıcı etkisini ampirik olarak ispatlamaktadır. Her iki hisse için binom testi sonuçları istatistiksel olarak son derece anlamlıdır (bireysel p &lt; 0.0001; Bonferroni düzeltmeli p = 0.00012).</w:t>
      </w:r>
    </w:p>
    <w:p/>
    <w:p>
      <w:pPr>
        <w:ind w:firstLine="425"/>
      </w:pPr>
      <w:r>
        <w:t>Model, rasyonel piyasa verisi yerine gürültü tüccarlarının yarattığı suni fiyatlamayı öğrenmeye çalışırken kavram kayması (concept drift) yaşayarak tamamen tersine çalışmaya zorlanmıştır. Bu bulgu, algoritmik ticaret sistemlerinin gelişmekte olan piyasalarda "gürültü öğrenme riski" taşıdığını somut verilerle ortaya koymaktadır.</w:t>
      </w:r>
    </w:p>
    <w:p/>
    <w:p>
      <w:pPr>
        <w:pStyle w:val="Heading2"/>
      </w:pPr>
      <w:r>
        <w:t>2.9. Seçici Tahmin (Selective Prediction) ve Güvenilirlik</w:t>
      </w:r>
    </w:p>
    <w:p/>
    <w:p>
      <w:pPr>
        <w:ind w:firstLine="425"/>
      </w:pPr>
      <w:r>
        <w:t>Modellerin güvenilirliği, belirsizliğin yüksek olduğu durumlarda tahmin yapmaktan kaçınabilmesiyle (abstain) de ölçülür. Geifman ve El-Yaniv (2017) tarafından geliştirilen seçici tahmin (selective prediction) teorisi, Kapsam-Doğruluk (Coverage-Accuracy tradeoff) optimizasyonunu zorunlu kılar. Projemizin gelecek çalışmalarında yer alan "Selective Abstain" entegrasyonu, literatürdeki bu savunma mekanizmasını, makroekonomik kırılmalar altında çalışan finansal ağlara uyarlamayı hedeflemektedir.</w:t>
      </w:r>
    </w:p>
    <w:p/>
    <w:p>
      <w:pPr>
        <w:pStyle w:val="Heading2"/>
      </w:pPr>
      <w:r>
        <w:t>2.10. Özgün Katkılar</w:t>
      </w:r>
    </w:p>
    <w:p/>
    <w:p>
      <w:pPr>
        <w:ind w:firstLine="425"/>
      </w:pPr>
      <w:r>
        <w:t>Projemiz, yukarıda özetlenen 10 farklı literatür akımını tek bir çerçevede birleştirerek şu özgün katkıları sunmaktadır:</w:t>
      </w:r>
    </w:p>
    <w:p>
      <w:pPr>
        <w:pStyle w:val="ListBullet"/>
      </w:pPr>
      <w:r>
        <w:t>Anti-prediktif davranışın sistematik olarak belgelenmesi (700+ konfigürasyon, 6 mimari, 27 varlık)</w:t>
      </w:r>
    </w:p>
    <w:p>
      <w:pPr>
        <w:pStyle w:val="ListBullet"/>
      </w:pPr>
      <w:r>
        <w:t>Sektörel ayrışmanın kanıtlanması (havacılık/spekülatif vs bankacılık/kurumsal)</w:t>
      </w:r>
    </w:p>
    <w:p>
      <w:pPr>
        <w:pStyle w:val="ListBullet"/>
      </w:pPr>
      <w:r>
        <w:t>Pencere uzunluğu etkisinin keşfedilmesi (IN_LEN ≤ 5 tetikler, IN_LEN = 10 kaybeder)</w:t>
      </w:r>
    </w:p>
    <w:p>
      <w:pPr>
        <w:pStyle w:val="ListBullet"/>
      </w:pPr>
      <w:r>
        <w:t>Makro değişken mekanizmasının izole edilmesi (USDTRY + Oil + TCMB çıkarılınca anomali yok)</w:t>
      </w:r>
    </w:p>
    <w:p>
      <w:pPr>
        <w:pStyle w:val="ListBullet"/>
      </w:pPr>
      <w:r>
        <w:t>Dönemsel tetikleyicilerin haritalanması (COVID-19, kur şoku, enflasyon)</w:t>
      </w:r>
    </w:p>
    <w:p>
      <w:pPr>
        <w:pStyle w:val="ListBullet"/>
      </w:pPr>
      <w:r>
        <w:t>Çapraz piyasa karşılaştırması (BIST anti-prediktif, NASDAQ normal)</w:t>
      </w:r>
    </w:p>
    <w:p>
      <w:r>
        <w:br w:type="page"/>
      </w:r>
    </w:p>
    <w:p>
      <w:pPr>
        <w:pStyle w:val="Heading1"/>
      </w:pPr>
      <w:r>
        <w:t>ARAŞTIRMANIN KISITLARI VE GELECEK ÇALIŞMALAR (LIMITATIONS &amp; FUTURE WORK)</w:t>
      </w:r>
    </w:p>
    <w:p/>
    <w:p>
      <w:pPr>
        <w:ind w:firstLine="425"/>
      </w:pPr>
      <w:r>
        <w:t>Her bilimsel araştırma belirli metodolojik ve pratik sınırlar (kısıtlar) içerisinde yürütülür. Projemizin TÜBİTAK 2209-A kapsamında ortaya koyduğu "Derin Öğrenmede Anti-Prediktif Eğilimin Çok Boyutlu Teşhisi" bulgularının akademik şeffaflığa oturması adına, mevcut kısıtlar ve gelecek çalışmalarda hedeflenen iş paketleri aşağıda detaylandırılmıştır:</w:t>
      </w:r>
    </w:p>
    <w:p/>
    <w:p/>
    <w:p>
      <w:pPr>
        <w:pStyle w:val="Heading2"/>
      </w:pPr>
      <w:r>
        <w:t>1. Spekülatif Rejimlerin Dinamik Tespit Edilemezliği</w:t>
      </w:r>
    </w:p>
    <w:p/>
    <w:p>
      <w:pPr>
        <w:ind w:firstLine="425"/>
      </w:pPr>
      <w:r>
        <w:t>Projenin nihai testlerinde (11 hisselik genişletilmiş havuz), makroekonomik şokların ve küçük yatırımcı spekülasyonunun derin öğrenme modellerinde sistematik anti-prediktif eğilime yol açtığı kesin olarak kanıtlanmıştır:</w:t>
      </w:r>
    </w:p>
    <w:p/>
    <w:p>
      <w:pPr>
        <w:ind w:firstLine="425"/>
      </w:pPr>
      <w:r>
        <w:t>Hisse         Sektör                Anti-Prediktif   p-değeri</w:t>
      </w:r>
    </w:p>
    <w:p>
      <w:pPr>
        <w:ind w:firstLine="425"/>
      </w:pPr>
      <w:r>
        <w:t>THYAO         Havacılık             15/15 (%100)     &lt; 0.0001</w:t>
      </w:r>
    </w:p>
    <w:p>
      <w:pPr>
        <w:ind w:firstLine="425"/>
      </w:pPr>
      <w:r>
        <w:t>PGSUS         Havacılık             15/15 (%100)     &lt; 0.0001</w:t>
      </w:r>
    </w:p>
    <w:p>
      <w:pPr>
        <w:ind w:firstLine="425"/>
      </w:pPr>
      <w:r>
        <w:t>HEKTS         Spekülatif            15/15 (%100)     &lt; 0.0001</w:t>
      </w:r>
    </w:p>
    <w:p>
      <w:pPr>
        <w:ind w:firstLine="425"/>
      </w:pPr>
      <w:r>
        <w:t>SASA          Spekülatif            15/15 (%100)     &lt; 0.0001</w:t>
      </w:r>
    </w:p>
    <w:p>
      <w:pPr>
        <w:ind w:firstLine="425"/>
      </w:pPr>
      <w:r>
        <w:t>KRDMD         Emtia/Demir-Çelik    13/15 (%87)      = 0.0037</w:t>
      </w:r>
    </w:p>
    <w:p>
      <w:pPr>
        <w:ind w:firstLine="425"/>
      </w:pPr>
      <w:r>
        <w:t>FROTO         Otomotiv              Normal           —</w:t>
      </w:r>
    </w:p>
    <w:p>
      <w:pPr>
        <w:ind w:firstLine="425"/>
      </w:pPr>
      <w:r>
        <w:t>YKBNK         Bankacılık            Normal           —</w:t>
      </w:r>
    </w:p>
    <w:p>
      <w:pPr>
        <w:ind w:firstLine="425"/>
      </w:pPr>
      <w:r>
        <w:t>DOAS          Ticaret               Normal           —</w:t>
      </w:r>
    </w:p>
    <w:p>
      <w:pPr>
        <w:ind w:firstLine="425"/>
      </w:pPr>
      <w:r>
        <w:t>ISCTR         Bankacılık            Normal           —</w:t>
      </w:r>
    </w:p>
    <w:p>
      <w:pPr>
        <w:ind w:firstLine="425"/>
      </w:pPr>
      <w:r>
        <w:t>TAVHL         Havalimanı            Nötr             —</w:t>
      </w:r>
    </w:p>
    <w:p>
      <w:pPr>
        <w:ind w:firstLine="425"/>
      </w:pPr>
      <w:r>
        <w:t>KOZAL         Madencilik            Nötr             —</w:t>
      </w:r>
    </w:p>
    <w:p/>
    <w:p>
      <w:pPr>
        <w:ind w:firstLine="425"/>
      </w:pPr>
      <w:r>
        <w:t>Bonferroni-düzeltilmiş 4 hisse: p = 0.00012 (istatistiksel olarak çok anlamlı)</w:t>
      </w:r>
    </w:p>
    <w:p/>
    <w:p>
      <w:pPr>
        <w:ind w:firstLine="425"/>
      </w:pPr>
      <w:r>
        <w:t>Buna karşılık, kurumsal ve yapısal olarak sağlam hisselerde (FROTO, YKBNK) herhangi bir anti-prediktif çöküş yaşanmaması, sorunun dış şokların kendisinde değil; hissenin piyasa mikroyapısındaki (hacim, spread, spekülatif balon) kırılganlıkta yattığını ispatlamıştır.</w:t>
      </w:r>
    </w:p>
    <w:p/>
    <w:p>
      <w:pPr>
        <w:ind w:firstLine="425"/>
      </w:pPr>
      <w:r>
        <w:t>Mevcut Kısıt: Model, hangi dönemin rasyonel piyasa, hangi dönemin spekülatif "gürültü" dönemi olduğunu otomatik (dinamik) olarak tespit edememektedir. Walk-Forward v2 analizinde Fold 2 (COVID) ve Fold 6-7 (kur şoku/enflasyon) dönemleri geriye dönük olarak saptanmıştır, ancak bunu gerçek zamanlı olarak algılayacak bir mekanizma bulunmamaktadır.</w:t>
      </w:r>
    </w:p>
    <w:p/>
    <w:p>
      <w:pPr>
        <w:pStyle w:val="ListBullet"/>
      </w:pPr>
      <w:r>
        <w:t>Gelecek Çalışmalar (İş Paketi 1): Modelin spekülatif çöküş yaşadığı hisselerdeki hacim derinliği ve mikro-volatilite dinamikleri matematiksel olarak modellenecektir. "Gürültü Tüccarı (Noise Trader)" rejimlerini otomatik olarak algılayıp modeli o dönemlerde uyku moduna alacak bir makro-duyarlı (macro-aware) Rejim Değişim (Regime-Switching) algoritması tasarlanması planlanmaktadır. Hamilton (1989) tarafından geliştirilen Markov Regime-Switching modelleri bu entegrasyonun teorik temeli olacaktır.</w:t>
      </w:r>
    </w:p>
    <w:p/>
    <w:p/>
    <w:p>
      <w:pPr>
        <w:pStyle w:val="Heading2"/>
      </w:pPr>
      <w:r>
        <w:t>2. Statik Eşik Değerleri ve Coverage–Accuracy (Kapsam–Doğruluk) İkilemi</w:t>
      </w:r>
    </w:p>
    <w:p/>
    <w:p>
      <w:pPr>
        <w:ind w:firstLine="425"/>
      </w:pPr>
      <w:r>
        <w:t>Mevcut mimarilerde model, piyasa ne kadar gürültülü veya istikrarsız olursa olsun statik karar sınırlarıyla (threshold = 0.50) "Yön" üretmeye zorlanmaktadır. Projede gerçekleştirilen Threshold Grid analizinde 0.30-0.70 aralığında eşik optimizasyonu yapılmış, ancak optimal eşik değerinin dönemden döneme değiştiği ve statik eşiklerin kriz dönemlerinde başarısız kaldığı gözlemlenmiştir. Bu zorunluluk, modelin şok anlarındaki zafiyetini artırmaktadır.</w:t>
      </w:r>
    </w:p>
    <w:p/>
    <w:p>
      <w:pPr>
        <w:pStyle w:val="ListBullet"/>
      </w:pPr>
      <w:r>
        <w:t>Gelecek Çalışmalar (İş Paketi 2): Modellere "Selective Abstain (Seçici Kaçınma)" mekanizması (Geifman &amp; El-Yaniv, 2017) entegre edilecektir. Model, tahmininin güven düzeyi belirli bir eşiğin altına düştüğünde tahmin yapmaktan kaçınacaktır. Ancak, modelin yüksek volatiliteli Gelişmekte Olan Piyasalarda kendisini sürekli kapatarak işlevsiz (Coverage → %0) hâle gelmemesi için, kapsam-doğruluk dengesi (tradeoff) özel kayıp fonksiyonlarıyla optimize edilecektir.</w:t>
      </w:r>
    </w:p>
    <w:p/>
    <w:p/>
    <w:p>
      <w:pPr>
        <w:pStyle w:val="Heading2"/>
      </w:pPr>
      <w:r>
        <w:t>3. Bilgi-Teorik Metriklerin Yanlılığı (MI Bias) ve Negatif Kontrol Kısıtı</w:t>
      </w:r>
    </w:p>
    <w:p/>
    <w:p>
      <w:pPr>
        <w:ind w:firstLine="425"/>
      </w:pPr>
      <w:r>
        <w:t>Projenin analiz aşamalarında, özellikler ile hedef değişken arasındaki sinyali ölçmek için kullanılan standart Karşılıklı Bilgi (Mutual Information – MI) skorlarının, bootstrap permütasyon testleri sonucunda "histogram yanlılığı (bias)" içerdiği saptanmıştır. Bu nedenle mevcut MI bazlı sinyal sınırlarına temkinli yaklaşılmalıdır.</w:t>
      </w:r>
    </w:p>
    <w:p/>
    <w:p>
      <w:pPr>
        <w:ind w:firstLine="425"/>
      </w:pPr>
      <w:r>
        <w:t>Ayrıca, projede uygulanan Klasik ML negatif kontrolünde (Random Forest, Decision Tree, Logistic Regression), bu algoritmaların makro şoklardan nispeten daha az etkilendiği ancak naive seviyeyi tutarlı olarak aşamadığı gösterilmiştir. Bu negatif kontrol, anti-prediktif davranışın gradiyent-tabanlı öğrenmeye (derin öğrenme) özgü olduğunu kanıtlamakla birlikte, Klasik ML'nin üst başarı sınırı tam olarak optimize edilmemiştir.</w:t>
      </w:r>
    </w:p>
    <w:p/>
    <w:p>
      <w:pPr>
        <w:pStyle w:val="ListBullet"/>
      </w:pPr>
      <w:r>
        <w:t>Gelecek Çalışmalar (İş Paketi 3): Histogram tabanlı MI hesaplamaları yerine, literatürde küçük örneklemlere daha dayanıklı olduğu bilinen k-En Yakın Komşu (kNN) tabanlı MI tahminleyicileri (Kraskov ve diğerleri, 2004) kullanılacaktır. Klasik ML modellerinin hiperparametre optimizasyonu genişletilerek, daha geniş çapraz doğrulama ağlarıyla gerçek üst sınır belirlenecektir.</w:t>
      </w:r>
    </w:p>
    <w:p/>
    <w:p/>
    <w:p>
      <w:pPr>
        <w:pStyle w:val="Heading2"/>
      </w:pPr>
      <w:r>
        <w:t>4. Zaman Frekansı (Frequency) ve Giriş Penceresi (IN_LEN) Kısıtı — KISMEN ÇÖZÜLDÜ</w:t>
      </w:r>
    </w:p>
    <w:p/>
    <w:p>
      <w:pPr>
        <w:ind w:firstLine="425"/>
      </w:pPr>
      <w:r>
        <w:t>Bu kısıt, projemizin IN_LEN Ablation v2 deneyleriyle kısmen çözülmüştür. Pencere ablasyon testlerinin düzeltilmiş versiyonunda (OUT_LEN=3, gerçek TCMB faiz oranı, from=2018):</w:t>
      </w:r>
    </w:p>
    <w:p/>
    <w:p>
      <w:pPr>
        <w:ind w:left="850"/>
      </w:pPr>
      <w:r>
        <w:rPr>
          <w:rFonts w:ascii="Consolas" w:hAnsi="Consolas"/>
          <w:sz w:val="16"/>
        </w:rPr>
        <w:t>IN_LEN = 2:   Model Acc = %39.6,  Flip Acc = %60.4,  Strict Anti-Pred = 15/15</w:t>
      </w:r>
    </w:p>
    <w:p>
      <w:pPr>
        <w:ind w:left="850"/>
      </w:pPr>
      <w:r>
        <w:rPr>
          <w:rFonts w:ascii="Consolas" w:hAnsi="Consolas"/>
          <w:sz w:val="16"/>
        </w:rPr>
        <w:t>IN_LEN = 5:   Model Acc = %45.3,  Flip Acc = %54.7,  Strict Anti-Pred = 15/15</w:t>
      </w:r>
    </w:p>
    <w:p>
      <w:pPr>
        <w:ind w:left="850"/>
      </w:pPr>
      <w:r>
        <w:rPr>
          <w:rFonts w:ascii="Consolas" w:hAnsi="Consolas"/>
          <w:sz w:val="16"/>
        </w:rPr>
        <w:t>IN_LEN = 10:  Model Acc = %52.9,  Flip Acc = %47.1,  Strict Anti-Pred = 0/15</w:t>
      </w:r>
    </w:p>
    <w:p/>
    <w:p>
      <w:pPr>
        <w:ind w:firstLine="425"/>
      </w:pPr>
      <w:r>
        <w:t>Bu sonuçlar, modelin yeterli geçmiş bağlam (temporal context) aldığında anti-prediktif eğilimden kurtulabildiğini deneysel olarak kanıtlamıştır. Ancak günlük frekanstaki (daily) piyasa mikro-gürültüsü hâlâ modelin asıl sinyali öğrenmesini zorlaştıran temel bir kısıt olarak varlığını sürdürmektedir. IN_LEN = 10'da normal davranış gösteren modelin aslında sadece "gürültüyü öğrenemeyecek kadar kısa hafıza alanına" sahip olup olmadığı, yoksa gerçekten daha sağlam bir sinyal yakalayıp yakalamadığı henüz netleşmemiştir.</w:t>
      </w:r>
    </w:p>
    <w:p/>
    <w:p>
      <w:pPr>
        <w:pStyle w:val="ListBullet"/>
      </w:pPr>
      <w:r>
        <w:t>Gelecek Çalışmalar (İş Paketi 4): Zaman serisi frekansının haftalık (weekly) periyotlara indirilmesi ve sinyal işleme yöntemleriyle (hareketli ortalama filtreleri, Butterworth alçak-geçiren filtre vb.) günlük mikro-gürültünün arındırılması planlanmaktadır. Ayrıca, IN_LEN ablasyon sonuçlarıyla uyumlu olarak, optimal pencere uzunluğunun hisse bazında dinamik olarak belirlenmesine yönelik adaptif pencere (adaptive windowing) stratejileri araştırılacaktır. IN_LEN = 10'daki "normal" davranışın mekanizmasını anlamak için katman aktivasyonu analizi (layer activation analysis) yapılması hedeflenmektedir.</w:t>
      </w:r>
    </w:p>
    <w:p/>
    <w:p/>
    <w:p>
      <w:pPr>
        <w:pStyle w:val="Heading1"/>
      </w:pPr>
      <w:r>
        <w:t>5. Donanım ve Ölçeklenebilirlik Kısıtları (Hesaplamalı Maliyet)</w:t>
      </w:r>
    </w:p>
    <w:p/>
    <w:p>
      <w:pPr>
        <w:pStyle w:val="Heading1"/>
      </w:pPr>
      <w:r>
        <w:t>Çalışma kapsamında 700'den fazla konfigürasyon, 7 farklı Walk-Forward fold ve çoklu rastgele başlangıç değerleri (seed) ile test edilmiştir. Bu hacim, lisans düzeyinde bir araştırma için oldukça büyüktür. Ancak çok derin katmanlı Çoklu-Başlık Dikkat (Multi-Head Attention) mimarileri veya Zaman Serisi Temel Modelleri (Time-Series Foundation Models, örneğin TimesFM, Chronos) gibi büyük ölçekli yaklaşımlar, mevcut donanım kısıtları (kişisel bilgisayar, GPU yok) nedeniyle tam kapasiteyle optimize edilememiştir.</w:t>
      </w:r>
    </w:p>
    <w:p/>
    <w:p>
      <w:pPr>
        <w:ind w:firstLine="425"/>
      </w:pPr>
      <w:r>
        <w:t>Ek olarak, 11 hisselik testlerin her biri için 15 konfigürasyon (3 lambda × 5 seed) koşulmuştur; ancak daha geniş bir lambda aralığı (λ = 0, 0.01, 0.05, 0.10, 0.20, 0.50) ve daha fazla seed değeri ile istatistiksel güvenilirlik artırılabilirdi.</w:t>
      </w:r>
    </w:p>
    <w:p/>
    <w:p>
      <w:pPr>
        <w:pStyle w:val="ListBullet"/>
      </w:pPr>
      <w:r>
        <w:t>Gelecek Çalışmalar (İş Paketi 5): Bulut bilişim altyapıları (Google Colab Pro, AWS) kullanılarak, mevcut mimarilerin ablasyonu çok daha geniş bir hiperparametre uzayında taranacaktır. GPU küme (cluster) kaynaklarına erişim sağlanması durumunda, Transformer tabanlı büyük modellerin ve Foundation Model'lerin anti-prediktif davranış üzerindeki etkisi sistematik olarak değerlendirilecektir.</w:t>
      </w:r>
    </w:p>
    <w:p/>
    <w:p/>
    <w:p>
      <w:pPr>
        <w:pStyle w:val="Heading2"/>
      </w:pPr>
      <w:r>
        <w:t>6. Transfer Öğrenme ve Alan Adaptasyonu (Domain Adaptation) Eksikliği</w:t>
      </w:r>
    </w:p>
    <w:p/>
    <w:p>
      <w:pPr>
        <w:ind w:firstLine="425"/>
      </w:pPr>
      <w:r>
        <w:t>Mevcut çalışmada tüm modeller yalnızca BIST verisi üzerinde sıfırdan (from scratch) eğitilmiştir. Gelişmiş piyasalardaki (örneğin NASDAQ, S&amp;P 500) daha derin likidite ve daha düşük spekülatif gürültü koşullarında eğitilmiş modellerin, BIST gibi Gelişmekte Olan Piyasalara transfer edilebilirliği henüz test edilmemiştir. NASDAQ AAPL'de normal, BIST THYAO'da anti-prediktif davranış gözlemlenmesi, transfer öğrenmenin bu asimetriyi giderip gideremeyeceği sorusunu yanıtsız bırakmaktadır.</w:t>
      </w:r>
    </w:p>
    <w:p/>
    <w:p>
      <w:pPr>
        <w:pStyle w:val="ListBullet"/>
      </w:pPr>
      <w:r>
        <w:t>Gelecek Çalışmalar (İş Paketi 6): Transfer Öğrenme (Transfer Learning) ve Alan Adaptasyonu (Domain Adaptation) teknikleri kullanılarak, gelişmiş piyasalarda ön-eğitim (pre-training) görmüş modellerin BIST hisse senetlerine ince ayar (fine-tuning) ile uyarlanması planlanmaktadır. Bu karşılaştırmalı analiz, anti-prediktif davranışın piyasa mikroyapısına mı yoksa modelin öğrenme kapasitesine mi bağlı olduğunun ayrıştırılmasına katkı sağlayacaktır.</w:t>
      </w:r>
    </w:p>
    <w:p/>
    <w:p/>
    <w:p>
      <w:pPr>
        <w:pStyle w:val="Heading1"/>
      </w:pPr>
      <w:r>
        <w:t>7. Validasyon Metodolojisi Kısıtları</w:t>
      </w:r>
    </w:p>
    <w:p/>
    <w:p>
      <w:pPr>
        <w:ind w:firstLine="425"/>
      </w:pPr>
      <w:r>
        <w:t>Walk-Forward v2'de validasyon verisi (val_data) düzeltilerek erken durdurma (early stopping) mekanizmasının doğru çalışması sağlanmıştır. Ancak bu düzeltme sonrası bile validasyon doğruluğu (val_accuracy) ile test doğruluğu arasındaki korelasyon düşük kalmıştır. Bu durum, kriz dönemlerinde validasyon setinin bile "normal dönem" özelliklerini taşımasından kaynaklanmaktadır. Başka bir deyişle, model "normal" veride iyi performans gösterip validasyonda da iyi puan alırken, kriz döneminin test setinde tamamen farklı bir rejimle karşılaşmaktadır.</w:t>
      </w:r>
    </w:p>
    <w:p/>
    <w:p>
      <w:pPr>
        <w:pStyle w:val="ListBullet"/>
      </w:pPr>
      <w:r>
        <w:t>Gelecek Çalışmalar (İş Paketi 7): Adversarial validation (Zhukov, 2019) tekniği kullanılarak, validasyon setinin test setine benzerliğini ölçen ve rejim değişikliklerini algılayan bir mekanizma geliştirilecektir. Bu sayede modelin "ne zaman güvenilmez" olduğu gerçek zamanlı olarak tahmin edilebilecektir.</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