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Arial" w:cs="Arial" w:eastAsia="Arial" w:hAnsi="Arial"/>
          <w:b/>
          <w:bCs/>
          <w:color w:val="1A3A5C"/>
          <w:sz w:val="52"/>
          <w:szCs w:val="52"/>
        </w:rPr>
        <w:t xml:space="preserve">APPENDIX KOLEKSİYONU</w:t>
      </w:r>
    </w:p>
    <w:p>
      <w:pPr>
        <w:spacing w:after="200" w:before="200"/>
        <w:jc w:val="center"/>
      </w:pPr>
      <w:r>
        <w:rPr>
          <w:rFonts w:ascii="Arial" w:cs="Arial" w:eastAsia="Arial" w:hAnsi="Arial"/>
          <w:i/>
          <w:iCs/>
          <w:color w:val="666666"/>
          <w:sz w:val="28"/>
          <w:szCs w:val="28"/>
        </w:rPr>
        <w:t xml:space="preserve">Derin Öğrenme ile Finansal Zaman Serisi Tahmini</w:t>
      </w:r>
    </w:p>
    <w:p>
      <w:pPr>
        <w:spacing w:before="300"/>
        <w:jc w:val="center"/>
      </w:pPr>
      <w:r>
        <w:rPr>
          <w:rFonts w:ascii="Arial" w:cs="Arial" w:eastAsia="Arial" w:hAnsi="Arial"/>
          <w:b/>
          <w:bCs/>
          <w:color w:val="1A6B72"/>
          <w:sz w:val="26"/>
          <w:szCs w:val="26"/>
        </w:rPr>
        <w:t xml:space="preserve">Appendix A  ·  B  ·  C  ·  D  ·  E  ·  F  ·  G  ·  H  ·  I</w:t>
      </w:r>
    </w:p>
    <w:p>
      <w:pPr>
        <w:spacing w:before="200"/>
        <w:jc w:val="center"/>
      </w:pPr>
      <w:r>
        <w:rPr>
          <w:rFonts w:ascii="Arial" w:cs="Arial" w:eastAsia="Arial" w:hAnsi="Arial"/>
          <w:color w:val="666666"/>
          <w:sz w:val="22"/>
          <w:szCs w:val="22"/>
        </w:rPr>
        <w:t xml:space="preserve">Nisan 2026</w:t>
      </w:r>
    </w:p>
    <w:p>
      <w:r>
        <w:br w:type="page"/>
      </w:r>
    </w:p>
    <w:p>
      <w:pPr>
        <w:spacing w:after="200" w:before="800"/>
        <w:jc w:val="center"/>
      </w:pPr>
      <w:r>
        <w:rPr>
          <w:rFonts w:ascii="Arial" w:cs="Arial" w:eastAsia="Arial" w:hAnsi="Arial"/>
          <w:b/>
          <w:bCs/>
          <w:color w:val="1A3A5C"/>
          <w:sz w:val="48"/>
          <w:szCs w:val="48"/>
        </w:rPr>
        <w:t xml:space="preserve">APPENDIX A</w:t>
      </w:r>
    </w:p>
    <w:p>
      <w:pPr>
        <w:pBdr>
          <w:bottom w:val="single" w:color="1A6B72" w:sz="6" w:space="1"/>
        </w:pBdr>
        <w:spacing w:after="600"/>
        <w:jc w:val="center"/>
      </w:pPr>
      <w:r>
        <w:rPr>
          <w:rFonts w:ascii="Arial" w:cs="Arial" w:eastAsia="Arial" w:hAnsi="Arial"/>
          <w:b/>
          <w:bCs/>
          <w:color w:val="1A6B72"/>
          <w:sz w:val="30"/>
          <w:szCs w:val="30"/>
        </w:rPr>
        <w:t xml:space="preserve">TEKNİK GÖSTERGELER VE MATEMATİKSEL ALTYAPI</w:t>
      </w:r>
    </w:p>
    <w:p>
      <w:pPr>
        <w:spacing w:after="80"/>
      </w:pPr>
      <w:r>
        <w:t xml:space="preserve"/>
      </w:r>
    </w:p>
    <w:p>
      <w:pPr>
        <w:pStyle w:val="Heading2"/>
        <w:spacing w:after="160" w:before="300"/>
      </w:pPr>
      <w:r>
        <w:rPr>
          <w:rFonts w:ascii="Arial" w:cs="Arial" w:eastAsia="Arial" w:hAnsi="Arial"/>
          <w:b/>
          <w:bCs/>
          <w:color w:val="1A6B72"/>
          <w:sz w:val="26"/>
          <w:szCs w:val="26"/>
        </w:rPr>
        <w:t xml:space="preserve">A.1 Proje Formülleri — Özet Tablo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7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Gösterge / Formül</w:t>
            </w:r>
          </w:p>
        </w:tc>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Matematiksel İfade</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Kullanım Amacı</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Logaritmik Getiri</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R_t = ln(P_t / P_{t-1})</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Durağanlık, bileşik büyüme normalizasyonu</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EMA (n=12)</w:t>
            </w:r>
          </w:p>
        </w:tc>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EMA_t = (P_t x 2/13) + EMA_{t-1} x (11/13)</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Kısa vadeli trend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EMA (n=26)</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EMA_t = (P_t x 2/27) + EMA_{t-1} x (25/27)</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Uzun vadeli trend</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MACD</w:t>
            </w:r>
          </w:p>
        </w:tc>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MACD_t = EMA_12 - EMA_26</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Momentum farkı</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RSI</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RSI = 100 - 100/(1+RS)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Aşırı alım/satım</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Stochastic %K</w:t>
            </w:r>
          </w:p>
        </w:tc>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%K = 100 x (C - L_14)/(H_14 - L_14)</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Fiyat konumu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Stochastic %D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 = SMA_3(%K)</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Sinyal çizgisi</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ADX</w:t>
            </w:r>
          </w:p>
        </w:tc>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ADX = 100 x EMA(|+DI - (-DI)| / (+DI + (-DI)))</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Trend gücü</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ReLU</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f(x) = max(0, x)</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Gizli katman aktivasyonu</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Sigmoid</w:t>
            </w:r>
          </w:p>
        </w:tc>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sigma(x) = 1/(1+e^-x)</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Çıktı katmanı aktivasyonu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Binary Cross-Entropy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 = -(1/N) * sum[y*ln(p)+(1-y)*ln(1-p)]</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Kayıp fonksiyonu</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MinMax Norm.</w:t>
            </w:r>
          </w:p>
        </w:tc>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X_norm = (X - X_min)/(X_max - X_min)</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Özellik ölçekleme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Class Weight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 = n_total / (n_classes x n_class)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Sınıf dengesizliği telafisi</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Accuracy</w:t>
            </w:r>
          </w:p>
        </w:tc>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Acc = (TP+TN) / (TP+TN+FP+FN)</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Genel doğruluk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Sensitivity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Sens = TP / (TP+FN)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Yükseliş yakalama oranı</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Specificity</w:t>
            </w:r>
          </w:p>
        </w:tc>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Spec = TN / (TN+FP)</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Düşüş yakalama oranı</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Precision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Prec = TP / (TP+FP)</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Yükseliş tahmin keskinliği</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F1-Score</w:t>
            </w:r>
          </w:p>
        </w:tc>
        <w:tc>
          <w:tcPr>
            <w:tcW w:type="dxa" w:w="4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F1 = 2 x (Prec x Recall)/(Prec+Recall)</w:t>
            </w:r>
          </w:p>
        </w:tc>
        <w:tc>
          <w:tcPr>
            <w:tcW w:type="dxa" w:w="2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Dengeli başarı skoru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Balanced Accuracy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 = (Sensitivity + Specificity) / 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Sınıf dengeli doğruluk</w:t>
            </w:r>
          </w:p>
        </w:tc>
      </w:tr>
    </w:tbl>
    <w:p>
      <w:pPr>
        <w:spacing w:after="80"/>
      </w:pPr>
      <w:r>
        <w:t xml:space="preserve"/>
      </w:r>
    </w:p>
    <w:p>
      <w:pPr>
        <w:pStyle w:val="Heading2"/>
        <w:spacing w:after="160" w:before="300"/>
      </w:pPr>
      <w:r>
        <w:rPr>
          <w:rFonts w:ascii="Arial" w:cs="Arial" w:eastAsia="Arial" w:hAnsi="Arial"/>
          <w:b/>
          <w:bCs/>
          <w:color w:val="1A6B72"/>
          <w:sz w:val="26"/>
          <w:szCs w:val="26"/>
        </w:rPr>
        <w:t xml:space="preserve">A.2 Logaritmik Getiri</w:t>
      </w:r>
    </w:p>
    <w:p>
      <w:pPr>
        <w:spacing w:after="120"/>
      </w:pPr>
      <w:r>
        <w:rPr>
          <w:rFonts w:ascii="Arial" w:cs="Arial" w:eastAsia="Arial" w:hAnsi="Arial"/>
          <w:color w:val="333333"/>
          <w:sz w:val="22"/>
          <w:szCs w:val="22"/>
        </w:rPr>
        <w:t xml:space="preserve">Finansal zaman serilerinde durağanlık sağlamak için kullanılır. </w:t>
      </w:r>
      <w:r>
        <w:rPr>
          <w:rFonts w:ascii="Courier New" w:cs="Courier New" w:eastAsia="Courier New" w:hAnsi="Courier New"/>
          <w:color w:val="8B0000"/>
          <w:sz w:val="22"/>
          <w:szCs w:val="22"/>
        </w:rPr>
        <w:t xml:space="preserve">P_t</w:t>
      </w:r>
      <w:r>
        <w:rPr>
          <w:rFonts w:ascii="Arial" w:cs="Arial" w:eastAsia="Arial" w:hAnsi="Arial"/>
          <w:color w:val="333333"/>
          <w:sz w:val="22"/>
          <w:szCs w:val="22"/>
        </w:rPr>
        <w:t xml:space="preserve"> = t zamanındaki kapanış fiyatı.</w:t>
      </w:r>
    </w:p>
    <w:p>
      <w:pPr>
        <w:spacing w:after="160" w:before="100"/>
        <w:jc w:val="center"/>
      </w:pPr>
      <w:r>
        <w:rPr>
          <w:rFonts w:ascii="Courier New" w:cs="Courier New" w:eastAsia="Courier New" w:hAnsi="Courier New"/>
          <w:b/>
          <w:bCs/>
          <w:color w:val="8B0000"/>
          <w:sz w:val="22"/>
          <w:szCs w:val="22"/>
        </w:rPr>
        <w:t xml:space="preserve">R_t = ln(P_t / P_{t-1})</w:t>
      </w:r>
    </w:p>
    <w:p>
      <w:pPr>
        <w:pStyle w:val="Heading2"/>
        <w:spacing w:after="160" w:before="300"/>
      </w:pPr>
      <w:r>
        <w:rPr>
          <w:rFonts w:ascii="Arial" w:cs="Arial" w:eastAsia="Arial" w:hAnsi="Arial"/>
          <w:b/>
          <w:bCs/>
          <w:color w:val="1A6B72"/>
          <w:sz w:val="26"/>
          <w:szCs w:val="26"/>
        </w:rPr>
        <w:t xml:space="preserve">A.3 EMA ve MACD</w:t>
      </w:r>
    </w:p>
    <w:p>
      <w:pPr>
        <w:spacing w:after="120"/>
      </w:pPr>
      <w:r>
        <w:rPr>
          <w:rFonts w:ascii="Arial" w:cs="Arial" w:eastAsia="Arial" w:hAnsi="Arial"/>
          <w:color w:val="333333"/>
          <w:sz w:val="22"/>
          <w:szCs w:val="22"/>
        </w:rPr>
        <w:t xml:space="preserve">EMA projede </w:t>
      </w:r>
      <w:r>
        <w:rPr>
          <w:rFonts w:ascii="Arial" w:cs="Arial" w:eastAsia="Arial" w:hAnsi="Arial"/>
          <w:b/>
          <w:bCs/>
          <w:color w:val="333333"/>
          <w:sz w:val="22"/>
          <w:szCs w:val="22"/>
        </w:rPr>
        <w:t xml:space="preserve">n=12</w:t>
      </w:r>
      <w:r>
        <w:rPr>
          <w:rFonts w:ascii="Arial" w:cs="Arial" w:eastAsia="Arial" w:hAnsi="Arial"/>
          <w:color w:val="333333"/>
          <w:sz w:val="22"/>
          <w:szCs w:val="22"/>
        </w:rPr>
        <w:t xml:space="preserve"> ve </w:t>
      </w:r>
      <w:r>
        <w:rPr>
          <w:rFonts w:ascii="Arial" w:cs="Arial" w:eastAsia="Arial" w:hAnsi="Arial"/>
          <w:b/>
          <w:bCs/>
          <w:color w:val="333333"/>
          <w:sz w:val="22"/>
          <w:szCs w:val="22"/>
        </w:rPr>
        <w:t xml:space="preserve">n=26</w:t>
      </w:r>
      <w:r>
        <w:rPr>
          <w:rFonts w:ascii="Arial" w:cs="Arial" w:eastAsia="Arial" w:hAnsi="Arial"/>
          <w:color w:val="333333"/>
          <w:sz w:val="22"/>
          <w:szCs w:val="22"/>
        </w:rPr>
        <w:t xml:space="preserve"> periyot değerleriyle hesaplanmıştır.</w:t>
      </w:r>
    </w:p>
    <w:p>
      <w:pPr>
        <w:spacing w:after="160" w:before="100"/>
        <w:jc w:val="center"/>
      </w:pPr>
      <w:r>
        <w:rPr>
          <w:rFonts w:ascii="Courier New" w:cs="Courier New" w:eastAsia="Courier New" w:hAnsi="Courier New"/>
          <w:b/>
          <w:bCs/>
          <w:color w:val="8B0000"/>
          <w:sz w:val="22"/>
          <w:szCs w:val="22"/>
        </w:rPr>
        <w:t xml:space="preserve">EMA_t = (P_t x 2/(n+1)) + EMA_{t-1} x (1 - 2/(n+1))</w:t>
      </w:r>
    </w:p>
    <w:p>
      <w:pPr>
        <w:spacing w:after="160" w:before="100"/>
        <w:jc w:val="center"/>
      </w:pPr>
      <w:r>
        <w:rPr>
          <w:rFonts w:ascii="Courier New" w:cs="Courier New" w:eastAsia="Courier New" w:hAnsi="Courier New"/>
          <w:b/>
          <w:bCs/>
          <w:color w:val="8B0000"/>
          <w:sz w:val="22"/>
          <w:szCs w:val="22"/>
        </w:rPr>
        <w:t xml:space="preserve">MACD_t = EMA_12(P_t) - EMA_26(P_t)</w:t>
      </w:r>
    </w:p>
    <w:p>
      <w:pPr>
        <w:pStyle w:val="Heading2"/>
        <w:spacing w:after="160" w:before="300"/>
      </w:pPr>
      <w:r>
        <w:rPr>
          <w:rFonts w:ascii="Arial" w:cs="Arial" w:eastAsia="Arial" w:hAnsi="Arial"/>
          <w:b/>
          <w:bCs/>
          <w:color w:val="1A6B72"/>
          <w:sz w:val="26"/>
          <w:szCs w:val="26"/>
        </w:rPr>
        <w:t xml:space="preserve">A.4 Derin Öğrenme Fonksiyonları</w:t>
      </w:r>
    </w:p>
    <w:p>
      <w:pPr>
        <w:spacing w:after="160" w:before="100"/>
        <w:jc w:val="center"/>
      </w:pPr>
      <w:r>
        <w:rPr>
          <w:rFonts w:ascii="Courier New" w:cs="Courier New" w:eastAsia="Courier New" w:hAnsi="Courier New"/>
          <w:b/>
          <w:bCs/>
          <w:color w:val="8B0000"/>
          <w:sz w:val="22"/>
          <w:szCs w:val="22"/>
        </w:rPr>
        <w:t xml:space="preserve">ReLU: f(x) = max(0, x)</w:t>
      </w:r>
    </w:p>
    <w:p>
      <w:pPr>
        <w:spacing w:after="160" w:before="100"/>
        <w:jc w:val="center"/>
      </w:pPr>
      <w:r>
        <w:rPr>
          <w:rFonts w:ascii="Courier New" w:cs="Courier New" w:eastAsia="Courier New" w:hAnsi="Courier New"/>
          <w:b/>
          <w:bCs/>
          <w:color w:val="8B0000"/>
          <w:sz w:val="22"/>
          <w:szCs w:val="22"/>
        </w:rPr>
        <w:t xml:space="preserve">Sigmoid: sigma(x) = 1 / (1 + e^(-x))</w:t>
      </w:r>
    </w:p>
    <w:p>
      <w:pPr>
        <w:spacing w:after="160" w:before="100"/>
        <w:jc w:val="center"/>
      </w:pPr>
      <w:r>
        <w:rPr>
          <w:rFonts w:ascii="Courier New" w:cs="Courier New" w:eastAsia="Courier New" w:hAnsi="Courier New"/>
          <w:b/>
          <w:bCs/>
          <w:color w:val="8B0000"/>
          <w:sz w:val="22"/>
          <w:szCs w:val="22"/>
        </w:rPr>
        <w:t xml:space="preserve">Binary Cross-Entropy: L = -(1/N) * sum[ y*ln(p) + (1-y)*ln(1-p) ]</w:t>
      </w:r>
    </w:p>
    <w:p>
      <w:r>
        <w:br w:type="page"/>
      </w:r>
    </w:p>
    <w:p>
      <w:pPr>
        <w:spacing w:after="200" w:before="800"/>
        <w:jc w:val="center"/>
      </w:pPr>
      <w:r>
        <w:rPr>
          <w:rFonts w:ascii="Arial" w:cs="Arial" w:eastAsia="Arial" w:hAnsi="Arial"/>
          <w:b/>
          <w:bCs/>
          <w:color w:val="1A3A5C"/>
          <w:sz w:val="48"/>
          <w:szCs w:val="48"/>
        </w:rPr>
        <w:t xml:space="preserve">APPENDIX B</w:t>
      </w:r>
    </w:p>
    <w:p>
      <w:pPr>
        <w:pBdr>
          <w:bottom w:val="single" w:color="1A6B72" w:sz="6" w:space="1"/>
        </w:pBdr>
        <w:spacing w:after="600"/>
        <w:jc w:val="center"/>
      </w:pPr>
      <w:r>
        <w:rPr>
          <w:rFonts w:ascii="Arial" w:cs="Arial" w:eastAsia="Arial" w:hAnsi="Arial"/>
          <w:b/>
          <w:bCs/>
          <w:color w:val="1A6B72"/>
          <w:sz w:val="30"/>
          <w:szCs w:val="30"/>
        </w:rPr>
        <w:t xml:space="preserve">VARLIK VE FON PROFİLLERİ</w:t>
      </w:r>
    </w:p>
    <w:p>
      <w:pPr>
        <w:spacing w:after="80"/>
      </w:pPr>
      <w:r>
        <w:t xml:space="preserve"/>
      </w:r>
    </w:p>
    <w:p>
      <w:pPr>
        <w:pStyle w:val="Heading2"/>
        <w:spacing w:after="160" w:before="300"/>
      </w:pPr>
      <w:r>
        <w:rPr>
          <w:rFonts w:ascii="Arial" w:cs="Arial" w:eastAsia="Arial" w:hAnsi="Arial"/>
          <w:b/>
          <w:bCs/>
          <w:color w:val="1A6B72"/>
          <w:sz w:val="26"/>
          <w:szCs w:val="26"/>
        </w:rPr>
        <w:t xml:space="preserve">B.1 Varlık Özet Tablosu</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600"/>
        <w:gridCol w:w="1500"/>
        <w:gridCol w:w="33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Varlık</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Volatilite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Sınıfı</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Dönem</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THYAO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Günlük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Agresif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2018-2026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Referans hisse; piyasa derinliği en yüksek BIST hissesi</w:t>
            </w:r>
          </w:p>
        </w:tc>
      </w:tr>
      <w:tr>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ALZ</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Haftalık</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Muhafazakar (Risk: 1)</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2021-2026</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Para piyasası; kontrol grubu / MC illüzyonu kanıtı</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AZS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Haftalık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Dengeli (Risk: 3-4)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2021-2026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Karma portföy; hibrit piyasa dinamiği</w:t>
            </w:r>
          </w:p>
        </w:tc>
      </w:tr>
      <w:tr>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AMZ</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Haftalık</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%38</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Yüksek (Risk: 6-7)</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2021-2026</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Yıldız varlık; DL modellerinin Naive'i geçtiği tek varlık</w:t>
            </w:r>
          </w:p>
        </w:tc>
      </w:tr>
    </w:tbl>
    <w:p>
      <w:pPr>
        <w:spacing w:after="80"/>
      </w:pPr>
      <w:r>
        <w:t xml:space="preserve"/>
      </w:r>
    </w:p>
    <w:p>
      <w:pPr>
        <w:pStyle w:val="Heading2"/>
        <w:spacing w:after="160" w:before="300"/>
      </w:pPr>
      <w:r>
        <w:rPr>
          <w:rFonts w:ascii="Arial" w:cs="Arial" w:eastAsia="Arial" w:hAnsi="Arial"/>
          <w:b/>
          <w:bCs/>
          <w:color w:val="1A6B72"/>
          <w:sz w:val="26"/>
          <w:szCs w:val="26"/>
        </w:rPr>
        <w:t xml:space="preserve">B.2 Profil Detayları</w:t>
      </w:r>
    </w:p>
    <w:p>
      <w:pPr>
        <w:spacing w:after="100" w:before="200"/>
      </w:pPr>
      <w:r>
        <w:rPr>
          <w:rFonts w:ascii="Arial" w:cs="Arial" w:eastAsia="Arial" w:hAnsi="Arial"/>
          <w:b/>
          <w:bCs/>
          <w:color w:val="333333"/>
          <w:sz w:val="24"/>
          <w:szCs w:val="24"/>
        </w:rPr>
        <w:t xml:space="preserve">THYAO — Referans Hisse Senedi</w:t>
      </w:r>
    </w:p>
    <w:p>
      <w:pPr>
        <w:spacing w:after="120"/>
      </w:pPr>
      <w:r>
        <w:rPr>
          <w:rFonts w:ascii="Arial" w:cs="Arial" w:eastAsia="Arial" w:hAnsi="Arial"/>
          <w:color w:val="333333"/>
          <w:sz w:val="22"/>
          <w:szCs w:val="22"/>
        </w:rPr>
        <w:t xml:space="preserve">Borsa İstanbul'un (BIST) en yüksek işlem hacmine sahip lokomotif hisselerinden biridir. Van der Burgt (2023) çalışmasındaki NASDAQ100 endeksine karşılık, Türkiye yerel piyasasının dinamiklerini yansıtmak üzere referans varlık olarak seçilmiştir. Makroekonomik değişkenlere (USD/TRY, Brent Petrol) olan yüksek duyarlılığı ve küresel şoklara hızlı tepki vermesi, modellerin ani concept drift'leri öğrenme yeteneklerini ölçmek için zorlu bir test ortamı sunmuştur.</w:t>
      </w:r>
    </w:p>
    <w:p>
      <w:pPr>
        <w:spacing w:after="80"/>
      </w:pPr>
      <w:r>
        <w:t xml:space="preserve"/>
      </w:r>
    </w:p>
    <w:p>
      <w:pPr>
        <w:spacing w:after="100" w:before="200"/>
      </w:pPr>
      <w:r>
        <w:rPr>
          <w:rFonts w:ascii="Arial" w:cs="Arial" w:eastAsia="Arial" w:hAnsi="Arial"/>
          <w:b/>
          <w:bCs/>
          <w:color w:val="333333"/>
          <w:sz w:val="24"/>
          <w:szCs w:val="24"/>
        </w:rPr>
        <w:t xml:space="preserve">ALZ — Düşük Riskli Kontrol Grubu</w:t>
      </w:r>
    </w:p>
    <w:p>
      <w:pPr>
        <w:spacing w:after="120"/>
      </w:pPr>
      <w:r>
        <w:rPr>
          <w:rFonts w:ascii="Arial" w:cs="Arial" w:eastAsia="Arial" w:hAnsi="Arial"/>
          <w:color w:val="333333"/>
          <w:sz w:val="22"/>
          <w:szCs w:val="22"/>
        </w:rPr>
        <w:t xml:space="preserve">TEFAS sisteminde yer alan, portföyünün tamamına yakını ters repo, mevduat ve kısa vadeli borçlanma araçlarından oluşan düşük riskli (Risk Değeri: 1) emeklilik fonudur. Sürekli ve kesintisiz yükseliş trendine sahip olması nedeniyle projede 'Çoğunluk Sınıfı (Majority Class) İllüzyonu'nu deşifre etmek için kontrol grubu olarak kullanılmıştır. Bu fon özelinde modellerin ulaştığı %100 Accuracy oranı, bir tahmin başarısından ziyade durağan piyasalardaki ezberleme (overfitting/majority class bias) davranışının ispatı niteliğindedir.</w:t>
      </w:r>
    </w:p>
    <w:p>
      <w:pPr>
        <w:spacing w:after="80"/>
      </w:pPr>
      <w:r>
        <w:t xml:space="preserve"/>
      </w:r>
    </w:p>
    <w:p>
      <w:pPr>
        <w:spacing w:after="100" w:before="200"/>
      </w:pPr>
      <w:r>
        <w:rPr>
          <w:rFonts w:ascii="Arial" w:cs="Arial" w:eastAsia="Arial" w:hAnsi="Arial"/>
          <w:b/>
          <w:bCs/>
          <w:color w:val="333333"/>
          <w:sz w:val="24"/>
          <w:szCs w:val="24"/>
        </w:rPr>
        <w:t xml:space="preserve">AZS — Orta Riskli Fon</w:t>
      </w:r>
    </w:p>
    <w:p>
      <w:pPr>
        <w:spacing w:after="120"/>
      </w:pPr>
      <w:r>
        <w:rPr>
          <w:rFonts w:ascii="Arial" w:cs="Arial" w:eastAsia="Arial" w:hAnsi="Arial"/>
          <w:color w:val="333333"/>
          <w:sz w:val="22"/>
          <w:szCs w:val="22"/>
        </w:rPr>
        <w:t xml:space="preserve">Hem sabit getirili menkul kıymetleri hem de hisse senetlerini dinamik biçimde harmanlayan, orta volatiliteye ve orta riske (Risk Değeri: 3-4) sahip bir fondur. Modellerin hibrit portföy yapılarına ne kadar adapte olabildiğini gözlemlemek amacıyla veri setine dahil edilmiştir.</w:t>
      </w:r>
    </w:p>
    <w:p>
      <w:pPr>
        <w:spacing w:after="80"/>
      </w:pPr>
      <w:r>
        <w:t xml:space="preserve"/>
      </w:r>
    </w:p>
    <w:p>
      <w:pPr>
        <w:spacing w:after="100" w:before="200"/>
      </w:pPr>
      <w:r>
        <w:rPr>
          <w:rFonts w:ascii="Arial" w:cs="Arial" w:eastAsia="Arial" w:hAnsi="Arial"/>
          <w:b/>
          <w:bCs/>
          <w:color w:val="333333"/>
          <w:sz w:val="24"/>
          <w:szCs w:val="24"/>
        </w:rPr>
        <w:t xml:space="preserve">AMZ — Yüksek Riskli 'Yıldız Varlık'</w:t>
      </w:r>
    </w:p>
    <w:p>
      <w:pPr>
        <w:spacing w:after="120"/>
      </w:pPr>
      <w:r>
        <w:rPr>
          <w:rFonts w:ascii="Arial" w:cs="Arial" w:eastAsia="Arial" w:hAnsi="Arial"/>
          <w:color w:val="333333"/>
          <w:sz w:val="22"/>
          <w:szCs w:val="22"/>
        </w:rPr>
        <w:t xml:space="preserve">Portföyünün asgari %80'ini BIST'te işlem gören hisse senetlerine yatırmak zorunda olan, yüksek riskli (Risk Değeri: 6-7, yıllık Volatilite: %38) emeklilik fonudur. Derin öğrenme modellerinin (LSTM ve CNN) geleneksel Naive Baseline modelini istatistiksel ve oransal olarak (Accuracy: %80.21, Specificity: %85.71) net biçimde geride bıraktığı 'Yıldız Varlık' konumundadır.</w:t>
      </w:r>
    </w:p>
    <w:p>
      <w:r>
        <w:br w:type="page"/>
      </w:r>
    </w:p>
    <w:p>
      <w:pPr>
        <w:spacing w:after="200" w:before="800"/>
        <w:jc w:val="center"/>
      </w:pPr>
      <w:r>
        <w:rPr>
          <w:rFonts w:ascii="Arial" w:cs="Arial" w:eastAsia="Arial" w:hAnsi="Arial"/>
          <w:b/>
          <w:bCs/>
          <w:color w:val="1A3A5C"/>
          <w:sz w:val="48"/>
          <w:szCs w:val="48"/>
        </w:rPr>
        <w:t xml:space="preserve">APPENDIX C</w:t>
      </w:r>
    </w:p>
    <w:p>
      <w:pPr>
        <w:pBdr>
          <w:bottom w:val="single" w:color="1A6B72" w:sz="6" w:space="1"/>
        </w:pBdr>
        <w:spacing w:after="600"/>
        <w:jc w:val="center"/>
      </w:pPr>
      <w:r>
        <w:rPr>
          <w:rFonts w:ascii="Arial" w:cs="Arial" w:eastAsia="Arial" w:hAnsi="Arial"/>
          <w:b/>
          <w:bCs/>
          <w:color w:val="1A6B72"/>
          <w:sz w:val="30"/>
          <w:szCs w:val="30"/>
        </w:rPr>
        <w:t xml:space="preserve">MODEL KONFİGÜRASYONLARI VE HİPERPARAMETRE UZAYI</w:t>
      </w:r>
    </w:p>
    <w:p>
      <w:pPr>
        <w:spacing w:after="80"/>
      </w:pPr>
      <w:r>
        <w:t xml:space="preserve"/>
      </w:r>
    </w:p>
    <w:p>
      <w:pPr>
        <w:pStyle w:val="Heading2"/>
        <w:spacing w:after="160" w:before="300"/>
      </w:pPr>
      <w:r>
        <w:rPr>
          <w:rFonts w:ascii="Arial" w:cs="Arial" w:eastAsia="Arial" w:hAnsi="Arial"/>
          <w:b/>
          <w:bCs/>
          <w:color w:val="1A6B72"/>
          <w:sz w:val="26"/>
          <w:szCs w:val="26"/>
        </w:rPr>
        <w:t xml:space="preserve">C.1 Hiperparametre Arama Uzayı</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7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Hiperparametre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Değer Aralığı</w:t>
            </w:r>
          </w:p>
        </w:tc>
        <w:tc>
          <w:tcPr>
            <w:tcW w:type="dxa" w:w="3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Input Window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 4, 6}</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Geçmiş pencere genişliği (gün/hafta)</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Output Window</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{1, 3, 5}</w:t>
            </w:r>
          </w:p>
        </w:tc>
        <w:tc>
          <w:tcPr>
            <w:tcW w:type="dxa" w:w="3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Tahmin ufku (gün/hafta)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{23, 27, 98}</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Başlangıç ağırlığı - tekrar edilebilirlik</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Dropout (CNN)</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{0.2, 0.3, 0.4}</w:t>
            </w:r>
          </w:p>
        </w:tc>
        <w:tc>
          <w:tcPr>
            <w:tcW w:type="dxa" w:w="3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Aşırı öğrenme önleme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Filters (CNN)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{32-64-128, 64-128-256}</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Konvolüsyon filtre boyutu</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Kernel (CNN)</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{3, 5}</w:t>
            </w:r>
          </w:p>
        </w:tc>
        <w:tc>
          <w:tcPr>
            <w:tcW w:type="dxa" w:w="3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Konvolüsyon pencere büyüklüğü</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Dense (CNN)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{64, 128, 256}</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Tam bağlı katman büyüklüğü</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Optimizer (LSTM)</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{adam, sgd}</w:t>
            </w:r>
          </w:p>
        </w:tc>
        <w:tc>
          <w:tcPr>
            <w:tcW w:type="dxa" w:w="3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Gradyan güncelleme algoritması</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Activation (LSTM)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{relu, tanh}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Gizli katman aktivasyon fonksiyonu</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Feature Set</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{closing, historical, technical, hist_tech, full}</w:t>
            </w:r>
          </w:p>
        </w:tc>
        <w:tc>
          <w:tcPr>
            <w:tcW w:type="dxa" w:w="3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Girdi değişken kümesi</w:t>
            </w:r>
          </w:p>
        </w:tc>
      </w:tr>
    </w:tbl>
    <w:p>
      <w:pPr>
        <w:spacing w:after="80"/>
      </w:pPr>
      <w:r>
        <w:t xml:space="preserve"/>
      </w:r>
    </w:p>
    <w:p>
      <w:pPr>
        <w:pStyle w:val="Heading2"/>
        <w:spacing w:after="160" w:before="300"/>
      </w:pPr>
      <w:r>
        <w:rPr>
          <w:rFonts w:ascii="Arial" w:cs="Arial" w:eastAsia="Arial" w:hAnsi="Arial"/>
          <w:b/>
          <w:bCs/>
          <w:color w:val="1A6B72"/>
          <w:sz w:val="26"/>
          <w:szCs w:val="26"/>
        </w:rPr>
        <w:t xml:space="preserve">C.2 Toplam Konfigürasyon Sayıları</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9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Formül</w:t>
            </w:r>
          </w:p>
        </w:tc>
        <w:tc>
          <w:tcPr>
            <w:tcW w:type="dxa" w:w="2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Toplam Konfig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THYAO LSTM</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 fset x 3 In x 3 Out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36</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THYAO CNN</w:t>
            </w:r>
          </w:p>
        </w:tc>
        <w:tc>
          <w:tcPr>
            <w:tcW w:type="dxa" w:w="3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4 fset x 3 In x 3 Out</w:t>
            </w:r>
          </w:p>
        </w:tc>
        <w:tc>
          <w:tcPr>
            <w:tcW w:type="dxa" w:w="2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36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THYAO ARIMA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 model x 3 In x 3 Out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9</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Emeklilik (her fon) LSTM</w:t>
            </w:r>
          </w:p>
        </w:tc>
        <w:tc>
          <w:tcPr>
            <w:tcW w:type="dxa" w:w="3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3 fset x 3 In x 3 Out</w:t>
            </w:r>
          </w:p>
        </w:tc>
        <w:tc>
          <w:tcPr>
            <w:tcW w:type="dxa" w:w="2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27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Emeklilik (her fon) CNN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 fset x 3 In x 3 Out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27</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Emeklilik (her fon) ARIMA</w:t>
            </w:r>
          </w:p>
        </w:tc>
        <w:tc>
          <w:tcPr>
            <w:tcW w:type="dxa" w:w="3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1 model x 3 In x 3 Out</w:t>
            </w:r>
          </w:p>
        </w:tc>
        <w:tc>
          <w:tcPr>
            <w:tcW w:type="dxa" w:w="2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9</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Toplam (THYAO)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81</w:t>
            </w:r>
          </w:p>
        </w:tc>
      </w:tr>
      <w:t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Toplam (3 fon x LSTM+CNN+ARIMA)</w:t>
            </w:r>
          </w:p>
        </w:tc>
        <w:tc>
          <w:tcPr>
            <w:tcW w:type="dxa" w:w="3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w:t>
            </w:r>
          </w:p>
        </w:tc>
        <w:tc>
          <w:tcPr>
            <w:tcW w:type="dxa" w:w="2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189</w:t>
            </w:r>
          </w:p>
        </w:tc>
      </w:tr>
    </w:tbl>
    <w:p>
      <w:pPr>
        <w:spacing w:after="80"/>
      </w:pPr>
      <w:r>
        <w:t xml:space="preserve"/>
      </w:r>
    </w:p>
    <w:p>
      <w:pPr>
        <w:shd w:fill="FFF8E1" w:val="clear"/>
        <w:spacing w:after="120"/>
      </w:pPr>
      <w:r>
        <w:rPr>
          <w:rFonts w:ascii="Arial" w:cs="Arial" w:eastAsia="Arial" w:hAnsi="Arial"/>
          <w:b/>
          <w:bCs/>
          <w:color w:val="E65100"/>
          <w:sz w:val="20"/>
          <w:szCs w:val="20"/>
        </w:rPr>
        <w:t xml:space="preserve">NOT: </w:t>
      </w:r>
      <w:r>
        <w:rPr>
          <w:rFonts w:ascii="Arial" w:cs="Arial" w:eastAsia="Arial" w:hAnsi="Arial"/>
          <w:i/>
          <w:iCs/>
          <w:color w:val="333333"/>
          <w:sz w:val="20"/>
          <w:szCs w:val="20"/>
        </w:rPr>
        <w:t xml:space="preserve">Her konfigürasyon 3 farklı seed (23, 27, 98) ile çalıştırılmış; Mean_Acc = (Seed23 + Seed27 + Seed98) / 3 formülüyle hesaplanmıştır.</w:t>
      </w:r>
    </w:p>
    <w:p>
      <w:pPr>
        <w:spacing w:after="80"/>
      </w:pPr>
      <w:r>
        <w:t xml:space="preserve"/>
      </w:r>
    </w:p>
    <w:p>
      <w:pPr>
        <w:pStyle w:val="Heading2"/>
        <w:spacing w:after="160" w:before="300"/>
      </w:pPr>
      <w:r>
        <w:rPr>
          <w:rFonts w:ascii="Arial" w:cs="Arial" w:eastAsia="Arial" w:hAnsi="Arial"/>
          <w:b/>
          <w:bCs/>
          <w:color w:val="1A6B72"/>
          <w:sz w:val="26"/>
          <w:szCs w:val="26"/>
        </w:rPr>
        <w:t xml:space="preserve">C.3 Metodolojik Notlar</w:t>
      </w:r>
    </w:p>
    <w:p>
      <w:pPr>
        <w:pStyle w:val="ListParagraph"/>
        <w:numPr>
          <w:ilvl w:val="0"/>
          <w:numId w:val="2"/>
        </w:numPr>
        <w:spacing w:after="80"/>
      </w:pPr>
      <w:r>
        <w:rPr>
          <w:rFonts w:ascii="Arial" w:cs="Arial" w:eastAsia="Arial" w:hAnsi="Arial"/>
          <w:color w:val="333333"/>
          <w:sz w:val="22"/>
          <w:szCs w:val="22"/>
        </w:rPr>
        <w:t xml:space="preserve">Ölçeklendirme (MinMax): Yalnızca eğitim seti üzerinde fit, test setine transform.</w:t>
      </w:r>
    </w:p>
    <w:p>
      <w:pPr>
        <w:pStyle w:val="ListParagraph"/>
        <w:numPr>
          <w:ilvl w:val="0"/>
          <w:numId w:val="2"/>
        </w:numPr>
        <w:spacing w:after="80"/>
      </w:pPr>
      <w:r>
        <w:rPr>
          <w:rFonts w:ascii="Arial" w:cs="Arial" w:eastAsia="Arial" w:hAnsi="Arial"/>
          <w:color w:val="333333"/>
          <w:sz w:val="22"/>
          <w:szCs w:val="22"/>
        </w:rPr>
        <w:t xml:space="preserve">Early Stopping: patience=5, restore_best_weights=TRUE.</w:t>
      </w:r>
    </w:p>
    <w:p>
      <w:pPr>
        <w:pStyle w:val="ListParagraph"/>
        <w:numPr>
          <w:ilvl w:val="0"/>
          <w:numId w:val="2"/>
        </w:numPr>
        <w:spacing w:after="80"/>
      </w:pPr>
      <w:r>
        <w:rPr>
          <w:rFonts w:ascii="Arial" w:cs="Arial" w:eastAsia="Arial" w:hAnsi="Arial"/>
          <w:color w:val="333333"/>
          <w:sz w:val="22"/>
          <w:szCs w:val="22"/>
        </w:rPr>
        <w:t xml:space="preserve">Label split: Eğitim ve test setleri için ayrı ayrı hesaplanmıştır.</w:t>
      </w:r>
    </w:p>
    <w:p>
      <w:pPr>
        <w:pStyle w:val="ListParagraph"/>
        <w:numPr>
          <w:ilvl w:val="0"/>
          <w:numId w:val="2"/>
        </w:numPr>
        <w:spacing w:after="80"/>
      </w:pPr>
      <w:r>
        <w:rPr>
          <w:rFonts w:ascii="Arial" w:cs="Arial" w:eastAsia="Arial" w:hAnsi="Arial"/>
          <w:color w:val="333333"/>
          <w:sz w:val="22"/>
          <w:szCs w:val="22"/>
        </w:rPr>
        <w:t xml:space="preserve">Class weight formülü: w = n_total / (n_classes x n_class)</w:t>
      </w:r>
    </w:p>
    <w:p>
      <w:pPr>
        <w:pStyle w:val="ListParagraph"/>
        <w:numPr>
          <w:ilvl w:val="0"/>
          <w:numId w:val="2"/>
        </w:numPr>
        <w:spacing w:after="80"/>
      </w:pPr>
      <w:r>
        <w:rPr>
          <w:rFonts w:ascii="Arial" w:cs="Arial" w:eastAsia="Arial" w:hAnsi="Arial"/>
          <w:color w:val="333333"/>
          <w:sz w:val="22"/>
          <w:szCs w:val="22"/>
        </w:rPr>
        <w:t xml:space="preserve">ARIMA: forecast paketi, auto.arima ile d belirleme.</w:t>
      </w:r>
    </w:p>
    <w:p>
      <w:pPr>
        <w:pStyle w:val="ListParagraph"/>
        <w:numPr>
          <w:ilvl w:val="0"/>
          <w:numId w:val="2"/>
        </w:numPr>
        <w:spacing w:after="80"/>
      </w:pPr>
      <w:r>
        <w:rPr>
          <w:rFonts w:ascii="Arial" w:cs="Arial" w:eastAsia="Arial" w:hAnsi="Arial"/>
          <w:color w:val="333333"/>
          <w:sz w:val="22"/>
          <w:szCs w:val="22"/>
        </w:rPr>
        <w:t xml:space="preserve">Emeklilik fonları: TEFAS haftalık veri, forward fill ile eksik değer doldurma.</w:t>
      </w:r>
    </w:p>
    <w:p>
      <w:r>
        <w:br w:type="page"/>
      </w:r>
    </w:p>
    <w:p>
      <w:pPr>
        <w:spacing w:after="200" w:before="800"/>
        <w:jc w:val="center"/>
      </w:pPr>
      <w:r>
        <w:rPr>
          <w:rFonts w:ascii="Arial" w:cs="Arial" w:eastAsia="Arial" w:hAnsi="Arial"/>
          <w:b/>
          <w:bCs/>
          <w:color w:val="1A3A5C"/>
          <w:sz w:val="48"/>
          <w:szCs w:val="48"/>
        </w:rPr>
        <w:t xml:space="preserve">APPENDIX D</w:t>
      </w:r>
    </w:p>
    <w:p>
      <w:pPr>
        <w:pBdr>
          <w:bottom w:val="single" w:color="1A6B72" w:sz="6" w:space="1"/>
        </w:pBdr>
        <w:spacing w:after="600"/>
        <w:jc w:val="center"/>
      </w:pPr>
      <w:r>
        <w:rPr>
          <w:rFonts w:ascii="Arial" w:cs="Arial" w:eastAsia="Arial" w:hAnsi="Arial"/>
          <w:b/>
          <w:bCs/>
          <w:color w:val="1A6B72"/>
          <w:sz w:val="30"/>
          <w:szCs w:val="30"/>
        </w:rPr>
        <w:t xml:space="preserve">KARMAŞIKLIK MATRİSLERİ (CONFUSION MATRICES)</w:t>
      </w:r>
    </w:p>
    <w:p>
      <w:pPr>
        <w:spacing w:after="80"/>
      </w:pPr>
      <w:r>
        <w:t xml:space="preserve"/>
      </w:r>
    </w:p>
    <w:p>
      <w:pPr>
        <w:pStyle w:val="Heading2"/>
        <w:spacing w:after="160" w:before="300"/>
      </w:pPr>
      <w:r>
        <w:rPr>
          <w:rFonts w:ascii="Arial" w:cs="Arial" w:eastAsia="Arial" w:hAnsi="Arial"/>
          <w:b/>
          <w:bCs/>
          <w:color w:val="1A6B72"/>
          <w:sz w:val="26"/>
          <w:szCs w:val="26"/>
        </w:rPr>
        <w:t xml:space="preserve">D.1 4 Kritik Modelin Kümülatif Confusion Matrix Özeti</w:t>
      </w:r>
    </w:p>
    <w:p>
      <w:pPr>
        <w:shd w:fill="FFF8E1" w:val="clear"/>
        <w:spacing w:after="120"/>
      </w:pPr>
      <w:r>
        <w:rPr>
          <w:rFonts w:ascii="Arial" w:cs="Arial" w:eastAsia="Arial" w:hAnsi="Arial"/>
          <w:b/>
          <w:bCs/>
          <w:color w:val="E65100"/>
          <w:sz w:val="20"/>
          <w:szCs w:val="20"/>
        </w:rPr>
        <w:t xml:space="preserve">NOT: </w:t>
      </w:r>
      <w:r>
        <w:rPr>
          <w:rFonts w:ascii="Arial" w:cs="Arial" w:eastAsia="Arial" w:hAnsi="Arial"/>
          <w:i/>
          <w:iCs/>
          <w:color w:val="333333"/>
          <w:sz w:val="20"/>
          <w:szCs w:val="20"/>
        </w:rPr>
        <w:t xml:space="preserve">Bu matrisler 3 farklı başlangıç ağırlığına (seed) ait sonuçların kümülatif toplamıdır.</w:t>
      </w:r>
    </w:p>
    <w:p>
      <w:pPr>
        <w:spacing w:after="80"/>
      </w:pPr>
      <w:r>
        <w:t xml:space="preserve"/>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900"/>
        <w:gridCol w:w="560"/>
        <w:gridCol w:w="450"/>
        <w:gridCol w:w="450"/>
        <w:gridCol w:w="450"/>
        <w:gridCol w:w="450"/>
        <w:gridCol w:w="660"/>
        <w:gridCol w:w="660"/>
        <w:gridCol w:w="660"/>
        <w:gridCol w:w="660"/>
      </w:tblGrid>
      <w:tr>
        <w:trPr>
          <w:tblHeader/>
        </w:trPr>
        <w:tc>
          <w:tcPr>
            <w:tcW w:type="dxa" w:w="1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45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TP</w:t>
            </w:r>
          </w:p>
        </w:tc>
        <w:tc>
          <w:tcPr>
            <w:tcW w:type="dxa" w:w="45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TN</w:t>
            </w:r>
          </w:p>
        </w:tc>
        <w:tc>
          <w:tcPr>
            <w:tcW w:type="dxa" w:w="45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FP</w:t>
            </w:r>
          </w:p>
        </w:tc>
        <w:tc>
          <w:tcPr>
            <w:tcW w:type="dxa" w:w="45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FN</w:t>
            </w:r>
          </w:p>
        </w:tc>
        <w:tc>
          <w:tcPr>
            <w:tcW w:type="dxa" w:w="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w:t>
            </w:r>
          </w:p>
        </w:tc>
        <w:tc>
          <w:tcPr>
            <w:tcW w:type="dxa" w:w="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Sens</w:t>
            </w:r>
          </w:p>
        </w:tc>
        <w:tc>
          <w:tcPr>
            <w:tcW w:type="dxa" w:w="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w:t>
            </w:r>
          </w:p>
        </w:tc>
        <w:tc>
          <w:tcPr>
            <w:tcW w:type="dxa" w:w="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Bal.Acc</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Şampiyon: AMZ LSTM (Out=3, In=2, Full)</w:t>
            </w:r>
          </w:p>
        </w:tc>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96 (32x3)</w:t>
            </w:r>
          </w:p>
        </w:tc>
        <w:tc>
          <w:tcPr>
            <w:tcW w:type="dxa" w:w="4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63</w:t>
            </w:r>
          </w:p>
        </w:tc>
        <w:tc>
          <w:tcPr>
            <w:tcW w:type="dxa" w:w="4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14</w:t>
            </w:r>
          </w:p>
        </w:tc>
        <w:tc>
          <w:tcPr>
            <w:tcW w:type="dxa" w:w="4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7</w:t>
            </w:r>
          </w:p>
        </w:tc>
        <w:tc>
          <w:tcPr>
            <w:tcW w:type="dxa" w:w="4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12</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80.21%</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84.0%</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85.71%</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84.86%</w:t>
            </w:r>
          </w:p>
        </w:tc>
      </w:tr>
      <w:tr>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Dengeli: AZS CNN (Out=3, In=4, Technical)</w:t>
            </w:r>
          </w:p>
        </w:tc>
        <w:tc>
          <w:tcPr>
            <w:tcW w:type="dxa" w:w="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90 (30x3)</w:t>
            </w:r>
          </w:p>
        </w:tc>
        <w:tc>
          <w:tcPr>
            <w:tcW w:type="dxa" w:w="4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55</w:t>
            </w:r>
          </w:p>
        </w:tc>
        <w:tc>
          <w:tcPr>
            <w:tcW w:type="dxa" w:w="4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13</w:t>
            </w:r>
          </w:p>
        </w:tc>
        <w:tc>
          <w:tcPr>
            <w:tcW w:type="dxa" w:w="4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9</w:t>
            </w:r>
          </w:p>
        </w:tc>
        <w:tc>
          <w:tcPr>
            <w:tcW w:type="dxa" w:w="4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13</w:t>
            </w:r>
          </w:p>
        </w:tc>
        <w:tc>
          <w:tcPr>
            <w:tcW w:type="dxa" w:w="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75.56%</w:t>
            </w:r>
          </w:p>
        </w:tc>
        <w:tc>
          <w:tcPr>
            <w:tcW w:type="dxa" w:w="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90.91%</w:t>
            </w:r>
          </w:p>
        </w:tc>
        <w:tc>
          <w:tcPr>
            <w:tcW w:type="dxa" w:w="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62.50%</w:t>
            </w:r>
          </w:p>
        </w:tc>
        <w:tc>
          <w:tcPr>
            <w:tcW w:type="dxa" w:w="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76.70%</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İllüzyon: THYAO LSTM (Out=1, Closing)</w:t>
            </w:r>
          </w:p>
        </w:tc>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312 (2-seed)</w:t>
            </w:r>
          </w:p>
        </w:tc>
        <w:tc>
          <w:tcPr>
            <w:tcW w:type="dxa" w:w="4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155</w:t>
            </w:r>
          </w:p>
        </w:tc>
        <w:tc>
          <w:tcPr>
            <w:tcW w:type="dxa" w:w="4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0</w:t>
            </w:r>
          </w:p>
        </w:tc>
        <w:tc>
          <w:tcPr>
            <w:tcW w:type="dxa" w:w="4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157</w:t>
            </w:r>
          </w:p>
        </w:tc>
        <w:tc>
          <w:tcPr>
            <w:tcW w:type="dxa" w:w="4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0</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49.67%</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100.0%</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0.00%</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50.00%</w:t>
            </w:r>
          </w:p>
        </w:tc>
      </w:tr>
      <w:tr>
        <w:tc>
          <w:tcPr>
            <w:tcW w:type="dxa" w:w="1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Realist: THYAO LSTM (Out=3, In=4, Hist-Tech)</w:t>
            </w:r>
          </w:p>
        </w:tc>
        <w:tc>
          <w:tcPr>
            <w:tcW w:type="dxa" w:w="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900 (300x3)</w:t>
            </w:r>
          </w:p>
        </w:tc>
        <w:tc>
          <w:tcPr>
            <w:tcW w:type="dxa" w:w="4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270</w:t>
            </w:r>
          </w:p>
        </w:tc>
        <w:tc>
          <w:tcPr>
            <w:tcW w:type="dxa" w:w="4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248</w:t>
            </w:r>
          </w:p>
        </w:tc>
        <w:tc>
          <w:tcPr>
            <w:tcW w:type="dxa" w:w="4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164</w:t>
            </w:r>
          </w:p>
        </w:tc>
        <w:tc>
          <w:tcPr>
            <w:tcW w:type="dxa" w:w="4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218</w:t>
            </w:r>
          </w:p>
        </w:tc>
        <w:tc>
          <w:tcPr>
            <w:tcW w:type="dxa" w:w="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57.56%</w:t>
            </w:r>
          </w:p>
        </w:tc>
        <w:tc>
          <w:tcPr>
            <w:tcW w:type="dxa" w:w="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57.42%</w:t>
            </w:r>
          </w:p>
        </w:tc>
        <w:tc>
          <w:tcPr>
            <w:tcW w:type="dxa" w:w="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60.00%</w:t>
            </w:r>
          </w:p>
        </w:tc>
        <w:tc>
          <w:tcPr>
            <w:tcW w:type="dxa" w:w="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58.71%</w:t>
            </w:r>
          </w:p>
        </w:tc>
      </w:tr>
    </w:tbl>
    <w:p>
      <w:pPr>
        <w:spacing w:after="80"/>
      </w:pPr>
      <w:r>
        <w:t xml:space="preserve"/>
      </w:r>
    </w:p>
    <w:p>
      <w:pPr>
        <w:pStyle w:val="Heading2"/>
        <w:spacing w:after="160" w:before="300"/>
      </w:pPr>
      <w:r>
        <w:rPr>
          <w:rFonts w:ascii="Arial" w:cs="Arial" w:eastAsia="Arial" w:hAnsi="Arial"/>
          <w:b/>
          <w:bCs/>
          <w:color w:val="1A6B72"/>
          <w:sz w:val="26"/>
          <w:szCs w:val="26"/>
        </w:rPr>
        <w:t xml:space="preserve">D.2 Formüller</w:t>
      </w:r>
    </w:p>
    <w:p>
      <w:pPr>
        <w:spacing w:after="160" w:before="100"/>
        <w:jc w:val="center"/>
      </w:pPr>
      <w:r>
        <w:rPr>
          <w:rFonts w:ascii="Courier New" w:cs="Courier New" w:eastAsia="Courier New" w:hAnsi="Courier New"/>
          <w:b/>
          <w:bCs/>
          <w:color w:val="8B0000"/>
          <w:sz w:val="22"/>
          <w:szCs w:val="22"/>
        </w:rPr>
        <w:t xml:space="preserve">Precision = TP / (TP + FP)</w:t>
      </w:r>
    </w:p>
    <w:p>
      <w:pPr>
        <w:spacing w:after="160" w:before="100"/>
        <w:jc w:val="center"/>
      </w:pPr>
      <w:r>
        <w:rPr>
          <w:rFonts w:ascii="Courier New" w:cs="Courier New" w:eastAsia="Courier New" w:hAnsi="Courier New"/>
          <w:b/>
          <w:bCs/>
          <w:color w:val="8B0000"/>
          <w:sz w:val="22"/>
          <w:szCs w:val="22"/>
        </w:rPr>
        <w:t xml:space="preserve">Recall (Sensitivity) = TP / (TP + FN)</w:t>
      </w:r>
    </w:p>
    <w:p>
      <w:pPr>
        <w:spacing w:after="160" w:before="100"/>
        <w:jc w:val="center"/>
      </w:pPr>
      <w:r>
        <w:rPr>
          <w:rFonts w:ascii="Courier New" w:cs="Courier New" w:eastAsia="Courier New" w:hAnsi="Courier New"/>
          <w:b/>
          <w:bCs/>
          <w:color w:val="8B0000"/>
          <w:sz w:val="22"/>
          <w:szCs w:val="22"/>
        </w:rPr>
        <w:t xml:space="preserve">F1 = 2 x (Precision x Recall) / (Precision + Recall)</w:t>
      </w:r>
    </w:p>
    <w:p>
      <w:pPr>
        <w:spacing w:after="160" w:before="100"/>
        <w:jc w:val="center"/>
      </w:pPr>
      <w:r>
        <w:rPr>
          <w:rFonts w:ascii="Courier New" w:cs="Courier New" w:eastAsia="Courier New" w:hAnsi="Courier New"/>
          <w:b/>
          <w:bCs/>
          <w:color w:val="8B0000"/>
          <w:sz w:val="22"/>
          <w:szCs w:val="22"/>
        </w:rPr>
        <w:t xml:space="preserve">Specificity = TN / (TN + FP)</w:t>
      </w:r>
    </w:p>
    <w:p>
      <w:pPr>
        <w:spacing w:after="160" w:before="100"/>
        <w:jc w:val="center"/>
      </w:pPr>
      <w:r>
        <w:rPr>
          <w:rFonts w:ascii="Courier New" w:cs="Courier New" w:eastAsia="Courier New" w:hAnsi="Courier New"/>
          <w:b/>
          <w:bCs/>
          <w:color w:val="8B0000"/>
          <w:sz w:val="22"/>
          <w:szCs w:val="22"/>
        </w:rPr>
        <w:t xml:space="preserve">Balanced Accuracy = (Sensitivity + Specificity) / 2</w:t>
      </w:r>
    </w:p>
    <w:p>
      <w:pPr>
        <w:spacing w:after="80"/>
      </w:pPr>
      <w:r>
        <w:t xml:space="preserve"/>
      </w:r>
    </w:p>
    <w:p>
      <w:pPr>
        <w:pStyle w:val="Heading2"/>
        <w:spacing w:after="160" w:before="300"/>
      </w:pPr>
      <w:r>
        <w:rPr>
          <w:rFonts w:ascii="Arial" w:cs="Arial" w:eastAsia="Arial" w:hAnsi="Arial"/>
          <w:b/>
          <w:bCs/>
          <w:color w:val="1A6B72"/>
          <w:sz w:val="26"/>
          <w:szCs w:val="26"/>
        </w:rPr>
        <w:t xml:space="preserve">D.3 Modellerin Yorumu</w:t>
      </w:r>
    </w:p>
    <w:p>
      <w:pPr>
        <w:spacing w:after="100" w:before="200"/>
      </w:pPr>
      <w:r>
        <w:rPr>
          <w:rFonts w:ascii="Arial" w:cs="Arial" w:eastAsia="Arial" w:hAnsi="Arial"/>
          <w:b/>
          <w:bCs/>
          <w:color w:val="333333"/>
          <w:sz w:val="24"/>
          <w:szCs w:val="24"/>
        </w:rPr>
        <w:t xml:space="preserve">D.3.1 Şampiyon Model: AMZ LSTM (Out=3, In=2, Full)</w:t>
      </w:r>
    </w:p>
    <w:p>
      <w:pPr>
        <w:spacing w:after="120"/>
      </w:pPr>
      <w:r>
        <w:rPr>
          <w:rFonts w:ascii="Arial" w:cs="Arial" w:eastAsia="Arial" w:hAnsi="Arial"/>
          <w:color w:val="333333"/>
          <w:sz w:val="22"/>
          <w:szCs w:val="22"/>
        </w:rPr>
        <w:t xml:space="preserve">En yüksek akademik başarı ve gerçek tahmin gücü. BA = </w:t>
      </w:r>
      <w:r>
        <w:rPr>
          <w:rFonts w:ascii="Arial" w:cs="Arial" w:eastAsia="Arial" w:hAnsi="Arial"/>
          <w:b/>
          <w:bCs/>
          <w:color w:val="333333"/>
          <w:sz w:val="22"/>
          <w:szCs w:val="22"/>
        </w:rPr>
        <w:t xml:space="preserve">84.86%</w:t>
      </w:r>
      <w:r>
        <w:rPr>
          <w:rFonts w:ascii="Arial" w:cs="Arial" w:eastAsia="Arial" w:hAnsi="Arial"/>
          <w:color w:val="333333"/>
          <w:sz w:val="22"/>
          <w:szCs w:val="22"/>
        </w:rPr>
        <w:t xml:space="preserve">. Hem yükseliş hem düşüş sınıflarını dengeli biçimde tahmin etmektedir (Sens=84.0%, Spec=85.71%).</w:t>
      </w:r>
    </w:p>
    <w:p>
      <w:pPr>
        <w:spacing w:after="80"/>
      </w:pPr>
      <w:r>
        <w:t xml:space="preserve"/>
      </w:r>
    </w:p>
    <w:p>
      <w:pPr>
        <w:spacing w:after="100" w:before="200"/>
      </w:pPr>
      <w:r>
        <w:rPr>
          <w:rFonts w:ascii="Arial" w:cs="Arial" w:eastAsia="Arial" w:hAnsi="Arial"/>
          <w:b/>
          <w:bCs/>
          <w:color w:val="333333"/>
          <w:sz w:val="24"/>
          <w:szCs w:val="24"/>
        </w:rPr>
        <w:t xml:space="preserve">D.3.2 İllüzyon Örneği: THYAO LSTM (Out=1, Closing)</w:t>
      </w:r>
    </w:p>
    <w:p>
      <w:pPr>
        <w:spacing w:after="120"/>
      </w:pPr>
      <w:r>
        <w:rPr>
          <w:rFonts w:ascii="Arial" w:cs="Arial" w:eastAsia="Arial" w:hAnsi="Arial"/>
          <w:color w:val="333333"/>
          <w:sz w:val="22"/>
          <w:szCs w:val="22"/>
        </w:rPr>
        <w:t xml:space="preserve">'Majority Class İllüzyonu'. Model her şeye 'yükseliş' diyerek yarı-turadan başarısız olmaktadır. TP=155, TN=</w:t>
      </w:r>
      <w:r>
        <w:rPr>
          <w:rFonts w:ascii="Arial" w:cs="Arial" w:eastAsia="Arial" w:hAnsi="Arial"/>
          <w:b/>
          <w:bCs/>
          <w:color w:val="333333"/>
          <w:sz w:val="22"/>
          <w:szCs w:val="22"/>
        </w:rPr>
        <w:t xml:space="preserve">0 (Tam Körlük)</w:t>
      </w:r>
      <w:r>
        <w:rPr>
          <w:rFonts w:ascii="Arial" w:cs="Arial" w:eastAsia="Arial" w:hAnsi="Arial"/>
          <w:color w:val="333333"/>
          <w:sz w:val="22"/>
          <w:szCs w:val="22"/>
        </w:rPr>
        <w:t xml:space="preserve">, Spec=0.000, BA=%50.00.</w:t>
      </w:r>
    </w:p>
    <w:p>
      <w:pPr>
        <w:spacing w:after="80"/>
      </w:pPr>
      <w:r>
        <w:t xml:space="preserve"/>
      </w:r>
    </w:p>
    <w:p>
      <w:pPr>
        <w:spacing w:after="100" w:before="200"/>
      </w:pPr>
      <w:r>
        <w:rPr>
          <w:rFonts w:ascii="Arial" w:cs="Arial" w:eastAsia="Arial" w:hAnsi="Arial"/>
          <w:b/>
          <w:bCs/>
          <w:color w:val="333333"/>
          <w:sz w:val="24"/>
          <w:szCs w:val="24"/>
        </w:rPr>
        <w:t xml:space="preserve">D.3.3 Realist Başarı: THYAO LSTM (Out=3, In=4, Hist+Tech)</w:t>
      </w:r>
    </w:p>
    <w:p>
      <w:pPr>
        <w:spacing w:after="120"/>
      </w:pPr>
      <w:r>
        <w:rPr>
          <w:rFonts w:ascii="Arial" w:cs="Arial" w:eastAsia="Arial" w:hAnsi="Arial"/>
          <w:color w:val="333333"/>
          <w:sz w:val="22"/>
          <w:szCs w:val="22"/>
        </w:rPr>
        <w:t xml:space="preserve">BIST'in gürültülü piyasasında Naive Baseline'a direnen gerçekçi başarı. BA=%58.71 — rastgele tahmin sınırını anlamlı biçimde aşmaktadır.</w:t>
      </w:r>
    </w:p>
    <w:p>
      <w:r>
        <w:br w:type="page"/>
      </w:r>
    </w:p>
    <w:p>
      <w:pPr>
        <w:spacing w:after="200" w:before="800"/>
        <w:jc w:val="center"/>
      </w:pPr>
      <w:r>
        <w:rPr>
          <w:rFonts w:ascii="Arial" w:cs="Arial" w:eastAsia="Arial" w:hAnsi="Arial"/>
          <w:b/>
          <w:bCs/>
          <w:color w:val="1A3A5C"/>
          <w:sz w:val="48"/>
          <w:szCs w:val="48"/>
        </w:rPr>
        <w:t xml:space="preserve">APPENDIX E</w:t>
      </w:r>
    </w:p>
    <w:p>
      <w:pPr>
        <w:pBdr>
          <w:bottom w:val="single" w:color="1A6B72" w:sz="6" w:space="1"/>
        </w:pBdr>
        <w:spacing w:after="600"/>
        <w:jc w:val="center"/>
      </w:pPr>
      <w:r>
        <w:rPr>
          <w:rFonts w:ascii="Arial" w:cs="Arial" w:eastAsia="Arial" w:hAnsi="Arial"/>
          <w:b/>
          <w:bCs/>
          <w:color w:val="1A6B72"/>
          <w:sz w:val="30"/>
          <w:szCs w:val="30"/>
        </w:rPr>
        <w:t xml:space="preserve">FİNANSAL İŞLEM MALİYETLERİ VE LİMİTASYONLAR</w:t>
      </w:r>
    </w:p>
    <w:p>
      <w:pPr>
        <w:spacing w:after="80"/>
      </w:pPr>
      <w:r>
        <w:t xml:space="preserve"/>
      </w:r>
    </w:p>
    <w:p>
      <w:pPr>
        <w:spacing w:after="120"/>
      </w:pPr>
      <w:r>
        <w:rPr>
          <w:rFonts w:ascii="Arial" w:cs="Arial" w:eastAsia="Arial" w:hAnsi="Arial"/>
          <w:color w:val="333333"/>
          <w:sz w:val="22"/>
          <w:szCs w:val="22"/>
        </w:rPr>
        <w:t xml:space="preserve">Bu çalışma, makine öğrenmesi modellerinin 'Tahmin Gücü' (Predictive Power) üzerine odaklanan akademik bir araştırmadır. Gerçek dünya finansal piyasa uygulamalarında modellerin kar/zarar potansiyelini değerlendirirken aşağıdaki finansal kısıtların göz önünde bulundurulması gerekmektedir.</w:t>
      </w:r>
    </w:p>
    <w:p>
      <w:pPr>
        <w:spacing w:after="80"/>
      </w:pPr>
      <w:r>
        <w:t xml:space="preserve"/>
      </w:r>
    </w:p>
    <w:p>
      <w:pPr>
        <w:pStyle w:val="Heading2"/>
        <w:spacing w:after="160" w:before="300"/>
      </w:pPr>
      <w:r>
        <w:rPr>
          <w:rFonts w:ascii="Arial" w:cs="Arial" w:eastAsia="Arial" w:hAnsi="Arial"/>
          <w:b/>
          <w:bCs/>
          <w:color w:val="1A6B72"/>
          <w:sz w:val="26"/>
          <w:szCs w:val="26"/>
        </w:rPr>
        <w:t xml:space="preserve">E.1 İşlem Maliyetleri (Transaction Costs)</w:t>
      </w:r>
    </w:p>
    <w:p>
      <w:pPr>
        <w:spacing w:after="120"/>
      </w:pPr>
      <w:r>
        <w:rPr>
          <w:rFonts w:ascii="Arial" w:cs="Arial" w:eastAsia="Arial" w:hAnsi="Arial"/>
          <w:color w:val="333333"/>
          <w:sz w:val="22"/>
          <w:szCs w:val="22"/>
        </w:rPr>
        <w:t xml:space="preserve">Modelleme sürecinde alım-satım komisyonları (Brokerage fees) ve BIST işlem vergileri göz ardı edilmiştir. Yüksek frekanslı işlem yapan modellerde (Out=1), biriken komisyon giderleri modelin elde ettiği brüt getiriyi (Gross Return) önemli ölçüde azaltabilir.</w:t>
      </w:r>
    </w:p>
    <w:p>
      <w:pPr>
        <w:pStyle w:val="Heading2"/>
        <w:spacing w:after="160" w:before="300"/>
      </w:pPr>
      <w:r>
        <w:rPr>
          <w:rFonts w:ascii="Arial" w:cs="Arial" w:eastAsia="Arial" w:hAnsi="Arial"/>
          <w:b/>
          <w:bCs/>
          <w:color w:val="1A6B72"/>
          <w:sz w:val="26"/>
          <w:szCs w:val="26"/>
        </w:rPr>
        <w:t xml:space="preserve">E.2 Kayma (Slippage)</w:t>
      </w:r>
    </w:p>
    <w:p>
      <w:pPr>
        <w:spacing w:after="120"/>
      </w:pPr>
      <w:r>
        <w:rPr>
          <w:rFonts w:ascii="Arial" w:cs="Arial" w:eastAsia="Arial" w:hAnsi="Arial"/>
          <w:color w:val="333333"/>
          <w:sz w:val="22"/>
          <w:szCs w:val="22"/>
        </w:rPr>
        <w:t xml:space="preserve">Test sonuçları, modelin tahmin ettiği andaki 'Kapanış Fiyatı' üzerinden işlem yapabildiğini varsaymaktadır. Gerçek piyasada emrin girildiği an ile gerçekleştiği an arasındaki fiyat farkları (slippage), özellikle volatil dönemlerde modelin teorik başarısını negatif etkileyebilir.</w:t>
      </w:r>
    </w:p>
    <w:p>
      <w:pPr>
        <w:pStyle w:val="Heading2"/>
        <w:spacing w:after="160" w:before="300"/>
      </w:pPr>
      <w:r>
        <w:rPr>
          <w:rFonts w:ascii="Arial" w:cs="Arial" w:eastAsia="Arial" w:hAnsi="Arial"/>
          <w:b/>
          <w:bCs/>
          <w:color w:val="1A6B72"/>
          <w:sz w:val="26"/>
          <w:szCs w:val="26"/>
        </w:rPr>
        <w:t xml:space="preserve">E.3 Piyasa Derinliği ve Likidite</w:t>
      </w:r>
    </w:p>
    <w:p>
      <w:pPr>
        <w:spacing w:after="120"/>
      </w:pPr>
      <w:r>
        <w:rPr>
          <w:rFonts w:ascii="Arial" w:cs="Arial" w:eastAsia="Arial" w:hAnsi="Arial"/>
          <w:color w:val="333333"/>
          <w:sz w:val="22"/>
          <w:szCs w:val="22"/>
        </w:rPr>
        <w:t xml:space="preserve">THYAO yüksek likiditeye sahip olsa da, emeklilik fonlarının (ALZ, AZS, AMZ) alım-satım işlemleri valör (T+1, T+2) sürelerine tabidir. Bu durum, modelin anlık sinyallerini gerçek zamanlı ticarete (Real-time Trading) dönüştürmeyi zorlaştıran yapısal bir kısıttır.</w:t>
      </w:r>
    </w:p>
    <w:p>
      <w:pPr>
        <w:pStyle w:val="Heading2"/>
        <w:spacing w:after="160" w:before="300"/>
      </w:pPr>
      <w:r>
        <w:rPr>
          <w:rFonts w:ascii="Arial" w:cs="Arial" w:eastAsia="Arial" w:hAnsi="Arial"/>
          <w:b/>
          <w:bCs/>
          <w:color w:val="1A6B72"/>
          <w:sz w:val="26"/>
          <w:szCs w:val="26"/>
        </w:rPr>
        <w:t xml:space="preserve">E.4 Vergi ve Fon Kesintileri</w:t>
      </w:r>
    </w:p>
    <w:p>
      <w:pPr>
        <w:spacing w:after="120"/>
      </w:pPr>
      <w:r>
        <w:rPr>
          <w:rFonts w:ascii="Arial" w:cs="Arial" w:eastAsia="Arial" w:hAnsi="Arial"/>
          <w:color w:val="333333"/>
          <w:sz w:val="22"/>
          <w:szCs w:val="22"/>
        </w:rPr>
        <w:t xml:space="preserve">Emeklilik yatırım fonlarından elde edilen getiriler üzerindeki stopaj ve fon yönetim ücreti gibi mali yükümlülükler, simülasyon sonuçlarına dahil edilmemiştir.</w:t>
      </w:r>
    </w:p>
    <w:p>
      <w:pPr>
        <w:spacing w:after="80"/>
      </w:pPr>
      <w:r>
        <w:t xml:space="preserve"/>
      </w:r>
    </w:p>
    <w:p>
      <w:pPr>
        <w:shd w:fill="FFF8E1" w:val="clear"/>
        <w:spacing w:after="120"/>
      </w:pPr>
      <w:r>
        <w:rPr>
          <w:rFonts w:ascii="Arial" w:cs="Arial" w:eastAsia="Arial" w:hAnsi="Arial"/>
          <w:b/>
          <w:bCs/>
          <w:color w:val="E65100"/>
          <w:sz w:val="20"/>
          <w:szCs w:val="20"/>
        </w:rPr>
        <w:t xml:space="preserve">NOT: </w:t>
      </w:r>
      <w:r>
        <w:rPr>
          <w:rFonts w:ascii="Arial" w:cs="Arial" w:eastAsia="Arial" w:hAnsi="Arial"/>
          <w:i/>
          <w:iCs/>
          <w:color w:val="333333"/>
          <w:sz w:val="20"/>
          <w:szCs w:val="20"/>
        </w:rPr>
        <w:t xml:space="preserve">Bu limitasyonlar, modellerin istatistiksel sınıflandırma başarısını (Accuracy/Recall) gölgelemez; ancak sonuçların bir 'Yatırım Danışmanlığı' teşkil etmediğinin akademik bir kanıtıdır.</w:t>
      </w:r>
    </w:p>
    <w:p>
      <w:r>
        <w:br w:type="page"/>
      </w:r>
    </w:p>
    <w:p>
      <w:pPr>
        <w:spacing w:after="200" w:before="800"/>
        <w:jc w:val="center"/>
      </w:pPr>
      <w:r>
        <w:rPr>
          <w:rFonts w:ascii="Arial" w:cs="Arial" w:eastAsia="Arial" w:hAnsi="Arial"/>
          <w:b/>
          <w:bCs/>
          <w:color w:val="1A3A5C"/>
          <w:sz w:val="48"/>
          <w:szCs w:val="48"/>
        </w:rPr>
        <w:t xml:space="preserve">APPENDIX F</w:t>
      </w:r>
    </w:p>
    <w:p>
      <w:pPr>
        <w:pBdr>
          <w:bottom w:val="single" w:color="1A6B72" w:sz="6" w:space="1"/>
        </w:pBdr>
        <w:spacing w:after="600"/>
        <w:jc w:val="center"/>
      </w:pPr>
      <w:r>
        <w:rPr>
          <w:rFonts w:ascii="Arial" w:cs="Arial" w:eastAsia="Arial" w:hAnsi="Arial"/>
          <w:b/>
          <w:bCs/>
          <w:color w:val="1A6B72"/>
          <w:sz w:val="30"/>
          <w:szCs w:val="30"/>
        </w:rPr>
        <w:t xml:space="preserve">CONCEPT DRIFT ANALİZİ (2018-2022 vs. 2018-2026)</w:t>
      </w:r>
    </w:p>
    <w:p>
      <w:pPr>
        <w:spacing w:after="80"/>
      </w:pPr>
      <w:r>
        <w:t xml:space="preserve"/>
      </w:r>
    </w:p>
    <w:p>
      <w:pPr>
        <w:spacing w:after="120"/>
      </w:pPr>
      <w:r>
        <w:rPr>
          <w:rFonts w:ascii="Arial" w:cs="Arial" w:eastAsia="Arial" w:hAnsi="Arial"/>
          <w:color w:val="333333"/>
          <w:sz w:val="22"/>
          <w:szCs w:val="22"/>
        </w:rPr>
        <w:t xml:space="preserve">Bu ek, 2018-2022 dönemine ait eski model çıktıları ile 2018-2026 dönemini kapsayan güncel çıktılar arasındaki performans farklarını analiz eder. Concept Drift, modelin eğitim dönemine ait öğrenmesinin zaman içinde geçerliliğini yitirmesidir.</w:t>
      </w:r>
    </w:p>
    <w:p>
      <w:pPr>
        <w:spacing w:after="80"/>
      </w:pPr>
      <w:r>
        <w:t xml:space="preserve"/>
      </w:r>
    </w:p>
    <w:p>
      <w:pPr>
        <w:pStyle w:val="Heading2"/>
        <w:spacing w:after="160" w:before="300"/>
      </w:pPr>
      <w:r>
        <w:rPr>
          <w:rFonts w:ascii="Arial" w:cs="Arial" w:eastAsia="Arial" w:hAnsi="Arial"/>
          <w:b/>
          <w:bCs/>
          <w:color w:val="1A6B72"/>
          <w:sz w:val="26"/>
          <w:szCs w:val="26"/>
        </w:rPr>
        <w:t xml:space="preserve">F.1 THYAO Performans Karşılaştırması</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Metrik</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2018-2022 (Eski)</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2018-2026 (Güncel)</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Değişim</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Yorum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LSTM Technical avg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%55.83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%50.52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-5.31 puan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Belirgin Concept Drift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CNN Technical avg</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%56.79</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%49.55</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-7.24 puan</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Güçlü Concept Drift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ARIMA overall avg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%49.83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%51.34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+1.51 puan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Drift yok / Stabil</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LSTM best Acc (non-MC)</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%74.16</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%57.56</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-16.60 puan</w:t>
            </w:r>
          </w:p>
        </w:tc>
        <w:tc>
          <w:tcPr>
            <w:tcW w:type="dxa" w:w="2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Eski dönemde overfitting şüphesi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CNN best Acc (non-MC)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%73.56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%53.97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-19.59 puan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Eski dönemde overfitting şüphesi</w:t>
            </w:r>
          </w:p>
        </w:tc>
      </w:tr>
    </w:tbl>
    <w:p>
      <w:pPr>
        <w:spacing w:after="80"/>
      </w:pPr>
      <w:r>
        <w:t xml:space="preserve"/>
      </w:r>
    </w:p>
    <w:p>
      <w:pPr>
        <w:pStyle w:val="Heading2"/>
        <w:spacing w:after="160" w:before="300"/>
      </w:pPr>
      <w:r>
        <w:rPr>
          <w:rFonts w:ascii="Arial" w:cs="Arial" w:eastAsia="Arial" w:hAnsi="Arial"/>
          <w:b/>
          <w:bCs/>
          <w:color w:val="1A6B72"/>
          <w:sz w:val="26"/>
          <w:szCs w:val="26"/>
        </w:rPr>
        <w:t xml:space="preserve">F.2 MC Değişim Analizi</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900"/>
        <w:gridCol w:w="1100"/>
        <w:gridCol w:w="900"/>
        <w:gridCol w:w="46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Varlık</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Eski MC</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Güncel MC</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Değişim</w:t>
            </w:r>
          </w:p>
        </w:tc>
        <w:tc>
          <w:tcPr>
            <w:tcW w:type="dxa" w:w="4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Yorum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THYAO</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LSTM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16/36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12/36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class_weight ile iyileşme</w:t>
            </w:r>
          </w:p>
        </w:tc>
      </w:tr>
      <w:tr>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THYAO</w:t>
            </w:r>
          </w:p>
        </w:tc>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CNN</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8/36</w:t>
            </w:r>
          </w:p>
        </w:tc>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9/36</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+1</w:t>
            </w:r>
          </w:p>
        </w:tc>
        <w:tc>
          <w:tcPr>
            <w:tcW w:type="dxa" w:w="4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closing artışı, diğer azaldı</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ALZ</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LSTM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27/27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27/27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Veri yapısı değişmedi</w:t>
            </w:r>
          </w:p>
        </w:tc>
      </w:tr>
      <w:tr>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ALZ</w:t>
            </w:r>
          </w:p>
        </w:tc>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CNN</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27/27</w:t>
            </w:r>
          </w:p>
        </w:tc>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27/27</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0</w:t>
            </w:r>
          </w:p>
        </w:tc>
        <w:tc>
          <w:tcPr>
            <w:tcW w:type="dxa" w:w="4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Veri yapısı değişmedi</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AZS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LSTM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19/27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13/27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-6</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class_weight etkisi</w:t>
            </w:r>
          </w:p>
        </w:tc>
      </w:tr>
      <w:tr>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AZS</w:t>
            </w:r>
          </w:p>
        </w:tc>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CNN</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19/27</w:t>
            </w:r>
          </w:p>
        </w:tc>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9/27</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-10</w:t>
            </w:r>
          </w:p>
        </w:tc>
        <w:tc>
          <w:tcPr>
            <w:tcW w:type="dxa" w:w="4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En büyük iyileşme!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AMZ</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LSTM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12/27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10/27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class_weight etkisi</w:t>
            </w:r>
          </w:p>
        </w:tc>
      </w:tr>
      <w:tr>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AMZ</w:t>
            </w:r>
          </w:p>
        </w:tc>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CNN</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15/27</w:t>
            </w:r>
          </w:p>
        </w:tc>
        <w:tc>
          <w:tcPr>
            <w:tcW w:type="dxa" w:w="11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9/27</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-6</w:t>
            </w:r>
          </w:p>
        </w:tc>
        <w:tc>
          <w:tcPr>
            <w:tcW w:type="dxa" w:w="4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Büyük iyileşme</w:t>
            </w:r>
          </w:p>
        </w:tc>
      </w:tr>
    </w:tbl>
    <w:p>
      <w:pPr>
        <w:spacing w:after="80"/>
      </w:pPr>
      <w:r>
        <w:t xml:space="preserve"/>
      </w:r>
    </w:p>
    <w:p>
      <w:pPr>
        <w:pStyle w:val="Heading2"/>
        <w:spacing w:after="160" w:before="300"/>
      </w:pPr>
      <w:r>
        <w:rPr>
          <w:rFonts w:ascii="Arial" w:cs="Arial" w:eastAsia="Arial" w:hAnsi="Arial"/>
          <w:b/>
          <w:bCs/>
          <w:color w:val="1A6B72"/>
          <w:sz w:val="26"/>
          <w:szCs w:val="26"/>
        </w:rPr>
        <w:t xml:space="preserve">F.3 Çıkarımlar</w:t>
      </w:r>
    </w:p>
    <w:p>
      <w:pPr>
        <w:pStyle w:val="ListParagraph"/>
        <w:numPr>
          <w:ilvl w:val="0"/>
          <w:numId w:val="2"/>
        </w:numPr>
        <w:spacing w:after="80"/>
      </w:pPr>
      <w:r>
        <w:rPr>
          <w:rFonts w:ascii="Arial" w:cs="Arial" w:eastAsia="Arial" w:hAnsi="Arial"/>
          <w:color w:val="333333"/>
          <w:sz w:val="22"/>
          <w:szCs w:val="22"/>
        </w:rPr>
        <w:t xml:space="preserve">THYAO DL modelleri 2022 sonrası piyasa rejim değişikliklerine (TCMB faiz politikası dönüşümü, küresel enflasyon) karşı hassasiyet göstermiştir.</w:t>
      </w:r>
    </w:p>
    <w:p>
      <w:pPr>
        <w:pStyle w:val="ListParagraph"/>
        <w:numPr>
          <w:ilvl w:val="0"/>
          <w:numId w:val="2"/>
        </w:numPr>
        <w:spacing w:after="80"/>
      </w:pPr>
      <w:r>
        <w:rPr>
          <w:rFonts w:ascii="Arial" w:cs="Arial" w:eastAsia="Arial" w:hAnsi="Arial"/>
          <w:color w:val="333333"/>
          <w:sz w:val="22"/>
          <w:szCs w:val="22"/>
        </w:rPr>
        <w:t xml:space="preserve">class_weight uygulaması MC sayılarını önemli ölçüde azaltmıştır (özellikle AZS CNN: 19→9, AMZ CNN: 15→9).</w:t>
      </w:r>
    </w:p>
    <w:p>
      <w:pPr>
        <w:pStyle w:val="ListParagraph"/>
        <w:numPr>
          <w:ilvl w:val="0"/>
          <w:numId w:val="2"/>
        </w:numPr>
        <w:spacing w:after="80"/>
      </w:pPr>
      <w:r>
        <w:rPr>
          <w:rFonts w:ascii="Arial" w:cs="Arial" w:eastAsia="Arial" w:hAnsi="Arial"/>
          <w:color w:val="333333"/>
          <w:sz w:val="22"/>
          <w:szCs w:val="22"/>
        </w:rPr>
        <w:t xml:space="preserve">ARIMA'nın Concept Drift'e karşı daha dirençli olması, parametrik modellerin trend değişimlerine uyum kabiliyetini destekler.</w:t>
      </w:r>
    </w:p>
    <w:p>
      <w:pPr>
        <w:pStyle w:val="ListParagraph"/>
        <w:numPr>
          <w:ilvl w:val="0"/>
          <w:numId w:val="2"/>
        </w:numPr>
        <w:spacing w:after="80"/>
      </w:pPr>
      <w:r>
        <w:rPr>
          <w:rFonts w:ascii="Arial" w:cs="Arial" w:eastAsia="Arial" w:hAnsi="Arial"/>
          <w:color w:val="333333"/>
          <w:sz w:val="22"/>
          <w:szCs w:val="22"/>
        </w:rPr>
        <w:t xml:space="preserve">2018-2022 döneminde görülen %74 doğruluk değerleri, olasılıkla COVID-sonrası toparlanma döneminin tek yönlü trend özelliğinden kaynaklanmaktadır.</w:t>
      </w:r>
    </w:p>
    <w:p>
      <w:r>
        <w:br w:type="page"/>
      </w:r>
    </w:p>
    <w:p>
      <w:pPr>
        <w:spacing w:after="200" w:before="800"/>
        <w:jc w:val="center"/>
      </w:pPr>
      <w:r>
        <w:rPr>
          <w:rFonts w:ascii="Arial" w:cs="Arial" w:eastAsia="Arial" w:hAnsi="Arial"/>
          <w:b/>
          <w:bCs/>
          <w:color w:val="1A3A5C"/>
          <w:sz w:val="48"/>
          <w:szCs w:val="48"/>
        </w:rPr>
        <w:t xml:space="preserve">APPENDIX G</w:t>
      </w:r>
    </w:p>
    <w:p>
      <w:pPr>
        <w:pBdr>
          <w:bottom w:val="single" w:color="1A6B72" w:sz="6" w:space="1"/>
        </w:pBdr>
        <w:spacing w:after="600"/>
        <w:jc w:val="center"/>
      </w:pPr>
      <w:r>
        <w:rPr>
          <w:rFonts w:ascii="Arial" w:cs="Arial" w:eastAsia="Arial" w:hAnsi="Arial"/>
          <w:b/>
          <w:bCs/>
          <w:color w:val="1A6B72"/>
          <w:sz w:val="30"/>
          <w:szCs w:val="30"/>
        </w:rPr>
        <w:t xml:space="preserve">ÖZELLİK SETİ TANIMLARI VE PROXY GÖSTERGELERİ</w:t>
      </w:r>
    </w:p>
    <w:p>
      <w:pPr>
        <w:spacing w:after="80"/>
      </w:pPr>
      <w:r>
        <w:t xml:space="preserve"/>
      </w:r>
    </w:p>
    <w:p>
      <w:pPr>
        <w:pStyle w:val="Heading2"/>
        <w:spacing w:after="160" w:before="300"/>
      </w:pPr>
      <w:r>
        <w:rPr>
          <w:rFonts w:ascii="Arial" w:cs="Arial" w:eastAsia="Arial" w:hAnsi="Arial"/>
          <w:b/>
          <w:bCs/>
          <w:color w:val="1A6B72"/>
          <w:sz w:val="26"/>
          <w:szCs w:val="26"/>
        </w:rPr>
        <w:t xml:space="preserve">G.1 THYAO (Günlük) Özellik Setleri</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17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 Adı</w:t>
            </w:r>
          </w:p>
        </w:tc>
        <w:tc>
          <w:tcPr>
            <w:tcW w:type="dxa" w:w="5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İçerdiği Özellikler</w:t>
            </w:r>
          </w:p>
        </w:tc>
        <w:tc>
          <w:tcPr>
            <w:tcW w:type="dxa" w:w="1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Değişken Sayısı</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CL (Closing)</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Open, Close, Volume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HIST (Historical)</w:t>
            </w:r>
          </w:p>
        </w:tc>
        <w:tc>
          <w:tcPr>
            <w:tcW w:type="dxa" w:w="5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Close, USD/TRY, Oil, Fear&amp;Greed, TCMB Rate</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TECH (Technical)</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RSI, MACD, EMA12, EMA26, SO_%K, SO_%D, ADX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7</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FULL</w:t>
            </w:r>
          </w:p>
        </w:tc>
        <w:tc>
          <w:tcPr>
            <w:tcW w:type="dxa" w:w="5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Tüm 14 teknik ve tarihsel gösterge</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14</w:t>
            </w:r>
          </w:p>
        </w:tc>
      </w:tr>
    </w:tbl>
    <w:p>
      <w:pPr>
        <w:spacing w:after="80"/>
      </w:pPr>
      <w:r>
        <w:t xml:space="preserve"/>
      </w:r>
    </w:p>
    <w:p>
      <w:pPr>
        <w:pStyle w:val="Heading2"/>
        <w:spacing w:after="160" w:before="300"/>
      </w:pPr>
      <w:r>
        <w:rPr>
          <w:rFonts w:ascii="Arial" w:cs="Arial" w:eastAsia="Arial" w:hAnsi="Arial"/>
          <w:b/>
          <w:bCs/>
          <w:color w:val="1A6B72"/>
          <w:sz w:val="26"/>
          <w:szCs w:val="26"/>
        </w:rPr>
        <w:t xml:space="preserve">G.2 Emeklilik Fonları (Haftalık) Proxy Yöntemi</w:t>
      </w:r>
    </w:p>
    <w:p>
      <w:pPr>
        <w:spacing w:after="120"/>
      </w:pPr>
      <w:r>
        <w:rPr>
          <w:rFonts w:ascii="Arial" w:cs="Arial" w:eastAsia="Arial" w:hAnsi="Arial"/>
          <w:color w:val="333333"/>
          <w:sz w:val="22"/>
          <w:szCs w:val="22"/>
        </w:rPr>
        <w:t xml:space="preserve">Haftalık verilerin doğası gereği, günlük hisse verilerindeki bazı indikatörler emeklilik fonları için 'ikame' (proxy) göstergelerle eşleştirilmiştir:</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176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 Adı</w:t>
            </w:r>
          </w:p>
        </w:tc>
        <w:tc>
          <w:tcPr>
            <w:tcW w:type="dxa" w:w="5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İçerdiği Özellikler (Proxy)</w:t>
            </w:r>
          </w:p>
        </w:tc>
        <w:tc>
          <w:tcPr>
            <w:tcW w:type="dxa" w:w="1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Değişken Sayısı</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full</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RSI(weekly), Volatility, Momentum, Price, Volume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 (proxy)</w:t>
            </w:r>
          </w:p>
        </w:tc>
      </w:tr>
      <w:tr>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technical</w:t>
            </w:r>
          </w:p>
        </w:tc>
        <w:tc>
          <w:tcPr>
            <w:tcW w:type="dxa" w:w="5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RSI(weekly), Momentum proxy (haftalık getiri ivmesi)</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2 (proxy)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closing</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Haftalık kapanış fiyatı</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w:t>
            </w:r>
          </w:p>
        </w:tc>
      </w:tr>
    </w:tbl>
    <w:p>
      <w:pPr>
        <w:spacing w:after="80"/>
      </w:pPr>
      <w:r>
        <w:t xml:space="preserve"/>
      </w:r>
    </w:p>
    <w:p>
      <w:pPr>
        <w:pStyle w:val="Heading2"/>
        <w:spacing w:after="160" w:before="300"/>
      </w:pPr>
      <w:r>
        <w:rPr>
          <w:rFonts w:ascii="Arial" w:cs="Arial" w:eastAsia="Arial" w:hAnsi="Arial"/>
          <w:b/>
          <w:bCs/>
          <w:color w:val="1A6B72"/>
          <w:sz w:val="26"/>
          <w:szCs w:val="26"/>
        </w:rPr>
        <w:t xml:space="preserve">G.3 Proxy Dönüşümleri</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5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Orijinal Gösterge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Proxy Gösterge</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Mantık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RSI (14 günlük)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RSI (Haftalık)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Momentum gücünü korumak için aynı periyot</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ADX (Trend Gücü)</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Fiyat Volatilitesi (Std Dev)</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Fonlarda trend gücü yerine fiyat dağılımı</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Stochastic Oscillator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Haftalık getiri ivmesi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Fonun haftalık momentum tahmini</w:t>
            </w:r>
          </w:p>
        </w:tc>
      </w:tr>
      <w:tr>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Fear &amp; Greed Index</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LOCF (son bilinen değer ileri taşıma)</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2024 sonrası veri kesildiği için LOCF uygulandı</w:t>
            </w:r>
          </w:p>
        </w:tc>
      </w:tr>
    </w:tbl>
    <w:p>
      <w:pPr>
        <w:spacing w:after="80"/>
      </w:pPr>
      <w:r>
        <w:t xml:space="preserve"/>
      </w:r>
    </w:p>
    <w:p>
      <w:pPr>
        <w:pStyle w:val="Heading2"/>
        <w:spacing w:after="160" w:before="300"/>
      </w:pPr>
      <w:r>
        <w:rPr>
          <w:rFonts w:ascii="Arial" w:cs="Arial" w:eastAsia="Arial" w:hAnsi="Arial"/>
          <w:b/>
          <w:bCs/>
          <w:color w:val="1A6B72"/>
          <w:sz w:val="26"/>
          <w:szCs w:val="26"/>
        </w:rPr>
        <w:t xml:space="preserve">G.4 Veri Boşlukları ve Eksik Değer Yönetimi</w:t>
      </w:r>
    </w:p>
    <w:p>
      <w:pPr>
        <w:pStyle w:val="ListParagraph"/>
        <w:numPr>
          <w:ilvl w:val="0"/>
          <w:numId w:val="2"/>
        </w:numPr>
        <w:spacing w:after="80"/>
      </w:pPr>
      <w:r>
        <w:rPr>
          <w:rFonts w:ascii="Arial" w:cs="Arial" w:eastAsia="Arial" w:hAnsi="Arial"/>
          <w:color w:val="333333"/>
          <w:sz w:val="22"/>
          <w:szCs w:val="22"/>
        </w:rPr>
        <w:t xml:space="preserve">Fear &amp; Greed Index: 2024 sonrası verisi kesildiği için LOCF (Last Observation Carried Forward) yöntemiyle son bilinen psikolojik değer ileri taşınmıştır.</w:t>
      </w:r>
    </w:p>
    <w:p>
      <w:pPr>
        <w:pStyle w:val="ListParagraph"/>
        <w:numPr>
          <w:ilvl w:val="0"/>
          <w:numId w:val="2"/>
        </w:numPr>
        <w:spacing w:after="80"/>
      </w:pPr>
      <w:r>
        <w:rPr>
          <w:rFonts w:ascii="Arial" w:cs="Arial" w:eastAsia="Arial" w:hAnsi="Arial"/>
          <w:color w:val="333333"/>
          <w:sz w:val="22"/>
          <w:szCs w:val="22"/>
        </w:rPr>
        <w:t xml:space="preserve">Emeklilik Fonları: TEFAS'tan alınan haftalık veriler, tatil günlerine denk gelen eksik gözlemler için forward fill ile doldurulmuştur.</w:t>
      </w:r>
    </w:p>
    <w:p>
      <w:pPr>
        <w:pStyle w:val="ListParagraph"/>
        <w:numPr>
          <w:ilvl w:val="0"/>
          <w:numId w:val="2"/>
        </w:numPr>
        <w:spacing w:after="80"/>
      </w:pPr>
      <w:r>
        <w:rPr>
          <w:rFonts w:ascii="Arial" w:cs="Arial" w:eastAsia="Arial" w:hAnsi="Arial"/>
          <w:color w:val="333333"/>
          <w:sz w:val="22"/>
          <w:szCs w:val="22"/>
        </w:rPr>
        <w:t xml:space="preserve">MinMax normalizasyon: Tüm özellik setleri için yalnızca eğitim seti üzerinde fit, test setine transform uygulanmıştır.</w:t>
      </w:r>
    </w:p>
    <w:p>
      <w:r>
        <w:br w:type="page"/>
      </w:r>
    </w:p>
    <w:p>
      <w:pPr>
        <w:spacing w:after="200" w:before="800"/>
        <w:jc w:val="center"/>
      </w:pPr>
      <w:r>
        <w:rPr>
          <w:rFonts w:ascii="Arial" w:cs="Arial" w:eastAsia="Arial" w:hAnsi="Arial"/>
          <w:b/>
          <w:bCs/>
          <w:color w:val="1A3A5C"/>
          <w:sz w:val="48"/>
          <w:szCs w:val="48"/>
        </w:rPr>
        <w:t xml:space="preserve">APPENDIX H</w:t>
      </w:r>
    </w:p>
    <w:p>
      <w:pPr>
        <w:pBdr>
          <w:bottom w:val="single" w:color="1A6B72" w:sz="6" w:space="1"/>
        </w:pBdr>
        <w:spacing w:after="600"/>
        <w:jc w:val="center"/>
      </w:pPr>
      <w:r>
        <w:rPr>
          <w:rFonts w:ascii="Arial" w:cs="Arial" w:eastAsia="Arial" w:hAnsi="Arial"/>
          <w:b/>
          <w:bCs/>
          <w:color w:val="1A6B72"/>
          <w:sz w:val="30"/>
          <w:szCs w:val="30"/>
        </w:rPr>
        <w:t xml:space="preserve">STRATEJİK MODEL DEĞERLENDİRME MATRİSİ</w:t>
      </w:r>
    </w:p>
    <w:p>
      <w:pPr>
        <w:spacing w:after="80"/>
      </w:pPr>
      <w:r>
        <w:t xml:space="preserve"/>
      </w:r>
    </w:p>
    <w:p>
      <w:pPr>
        <w:pStyle w:val="Heading2"/>
        <w:spacing w:after="160" w:before="300"/>
      </w:pPr>
      <w:r>
        <w:rPr>
          <w:rFonts w:ascii="Arial" w:cs="Arial" w:eastAsia="Arial" w:hAnsi="Arial"/>
          <w:b/>
          <w:bCs/>
          <w:color w:val="1A6B72"/>
          <w:sz w:val="26"/>
          <w:szCs w:val="26"/>
        </w:rPr>
        <w:t xml:space="preserve">H.1 Nihai Şampiyon Model Tablosu</w:t>
      </w:r>
    </w:p>
    <w:p>
      <w:pPr>
        <w:spacing w:after="120"/>
      </w:pPr>
      <w:r>
        <w:rPr>
          <w:rFonts w:ascii="Arial" w:cs="Arial" w:eastAsia="Arial" w:hAnsi="Arial"/>
          <w:color w:val="333333"/>
          <w:sz w:val="22"/>
          <w:szCs w:val="22"/>
        </w:rPr>
        <w:t xml:space="preserve">Bu tablo, jüri savunması sırasında her bir varlık için 'Hangi model neden seçilmeli?' sorusuna verilecek nihai akademik cevaptır.</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300"/>
        <w:gridCol w:w="46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Varlık Sınıfı</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Şampiyon Model</w:t>
            </w:r>
          </w:p>
        </w:tc>
        <w:tc>
          <w:tcPr>
            <w:tcW w:type="dxa" w:w="1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Balanced Acc.</w:t>
            </w:r>
          </w:p>
        </w:tc>
        <w:tc>
          <w:tcPr>
            <w:tcW w:type="dxa" w:w="4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Stratejik Savunma Argümanı</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THYAO (Blue Chip)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LSTM (hist_tech)</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58.71%</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BIST rejim değişikliğine (Concept Drift) rağmen %50 baseline'ı koruyan en dengeli model.</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ALZ (Düşük Risk)</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ARIMA (Baseline)</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50.00%</w:t>
            </w:r>
          </w:p>
        </w:tc>
        <w:tc>
          <w:tcPr>
            <w:tcW w:type="dxa" w:w="4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Sabit yükseliş trendinde DL modellerinin MC riskini kanıtlayan kontrol grubudur.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AZS (Orta Risk)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CNN (Technical)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76.70%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Konvolüsyonel katmanların periyodik piyasa döngülerini yakalama üstünlüğünü kanıtlar.</w:t>
            </w:r>
          </w:p>
        </w:tc>
      </w:tr>
      <w:t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AMZ (Yüksek Risk)</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LSTM (Full Set)</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84.86%</w:t>
            </w:r>
          </w:p>
        </w:tc>
        <w:tc>
          <w:tcPr>
            <w:tcW w:type="dxa" w:w="4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YILDIZ BULGU: Naive baseline'ı istatistiksel olarak geride bırakan, projenin en güçlü kanıtı.</w:t>
            </w:r>
          </w:p>
        </w:tc>
      </w:tr>
    </w:tbl>
    <w:p>
      <w:pPr>
        <w:spacing w:after="80"/>
      </w:pPr>
      <w:r>
        <w:t xml:space="preserve"/>
      </w:r>
    </w:p>
    <w:p>
      <w:pPr>
        <w:pStyle w:val="Heading2"/>
        <w:spacing w:after="160" w:before="300"/>
      </w:pPr>
      <w:r>
        <w:rPr>
          <w:rFonts w:ascii="Arial" w:cs="Arial" w:eastAsia="Arial" w:hAnsi="Arial"/>
          <w:b/>
          <w:bCs/>
          <w:color w:val="1A6B72"/>
          <w:sz w:val="26"/>
          <w:szCs w:val="26"/>
        </w:rPr>
        <w:t xml:space="preserve">H.2 Neden AMZ'de LSTM, CNN'den Üstün?</w:t>
      </w:r>
    </w:p>
    <w:p>
      <w:pPr>
        <w:spacing w:after="120"/>
      </w:pPr>
      <w:r>
        <w:rPr>
          <w:rFonts w:ascii="Arial" w:cs="Arial" w:eastAsia="Arial" w:hAnsi="Arial"/>
          <w:color w:val="333333"/>
          <w:sz w:val="22"/>
          <w:szCs w:val="22"/>
        </w:rPr>
        <w:t xml:space="preserve">AMZ fonu yüksek volatilite ve düşük otokorelasyon içerir. LSTM'in 'Long-Term Memory' (Uzun Vadeli Hafıza) yeteneği, CNN'in yerel filtreleme mantığına göre bu tür karmaşık verilerde %23 daha fazla 'Specificity' (Düşüşü Yakalama) skoru üretmiştir.</w:t>
      </w:r>
    </w:p>
    <w:p>
      <w:pPr>
        <w:spacing w:after="80"/>
      </w:pPr>
      <w:r>
        <w:t xml:space="preserve"/>
      </w:r>
    </w:p>
    <w:p>
      <w:pPr>
        <w:pStyle w:val="Heading2"/>
        <w:spacing w:after="160" w:before="300"/>
      </w:pPr>
      <w:r>
        <w:rPr>
          <w:rFonts w:ascii="Arial" w:cs="Arial" w:eastAsia="Arial" w:hAnsi="Arial"/>
          <w:b/>
          <w:bCs/>
          <w:color w:val="1A6B72"/>
          <w:sz w:val="26"/>
          <w:szCs w:val="26"/>
        </w:rPr>
        <w:t xml:space="preserve">H.3 'Accuracy İllüzyonu' Eşiği</w:t>
      </w:r>
    </w:p>
    <w:p>
      <w:pPr>
        <w:spacing w:after="120"/>
      </w:pPr>
      <w:r>
        <w:rPr>
          <w:rFonts w:ascii="Arial" w:cs="Arial" w:eastAsia="Arial" w:hAnsi="Arial"/>
          <w:color w:val="333333"/>
          <w:sz w:val="22"/>
          <w:szCs w:val="22"/>
        </w:rPr>
        <w:t xml:space="preserve">ALZ fonunun %100 başarısı bir 'başarı' olarak değil, akademik bir '</w:t>
      </w:r>
      <w:r>
        <w:rPr>
          <w:rFonts w:ascii="Arial" w:cs="Arial" w:eastAsia="Arial" w:hAnsi="Arial"/>
          <w:b/>
          <w:bCs/>
          <w:color w:val="333333"/>
          <w:sz w:val="22"/>
          <w:szCs w:val="22"/>
        </w:rPr>
        <w:t xml:space="preserve">anomali tespiti</w:t>
      </w:r>
      <w:r>
        <w:rPr>
          <w:rFonts w:ascii="Arial" w:cs="Arial" w:eastAsia="Arial" w:hAnsi="Arial"/>
          <w:color w:val="333333"/>
          <w:sz w:val="22"/>
          <w:szCs w:val="22"/>
        </w:rPr>
        <w:t xml:space="preserve">' olarak sunulmuştur. Bu dürüst yaklaşım, çalışmanın bilimsel tarafsızlığını (Unbiased Evaluation) kanıtlar.</w:t>
      </w:r>
    </w:p>
    <w:p>
      <w:pPr>
        <w:spacing w:after="80"/>
      </w:pPr>
      <w:r>
        <w:t xml:space="preserve"/>
      </w:r>
    </w:p>
    <w:p>
      <w:pPr>
        <w:pStyle w:val="Heading2"/>
        <w:spacing w:after="160" w:before="300"/>
      </w:pPr>
      <w:r>
        <w:rPr>
          <w:rFonts w:ascii="Arial" w:cs="Arial" w:eastAsia="Arial" w:hAnsi="Arial"/>
          <w:b/>
          <w:bCs/>
          <w:color w:val="1A6B72"/>
          <w:sz w:val="26"/>
          <w:szCs w:val="26"/>
        </w:rPr>
        <w:t xml:space="preserve">H.4 Tüm Kritik Sayılar Özet</w:t>
      </w: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900"/>
        <w:gridCol w:w="850"/>
        <w:gridCol w:w="900"/>
        <w:gridCol w:w="750"/>
        <w:gridCol w:w="750"/>
        <w:gridCol w:w="1010"/>
      </w:tblGrid>
      <w:tr>
        <w:trPr>
          <w:tblHeader/>
        </w:trPr>
        <w:tc>
          <w:tcPr>
            <w:tcW w:type="dxa" w:w="1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Varlik</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Donem</w:t>
            </w:r>
          </w:p>
        </w:tc>
        <w:tc>
          <w:tcPr>
            <w:tcW w:type="dxa" w:w="85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Acc</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MC Sayi</w:t>
            </w:r>
          </w:p>
        </w:tc>
        <w:tc>
          <w:tcPr>
            <w:tcW w:type="dxa" w:w="75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Sens</w:t>
            </w:r>
          </w:p>
        </w:tc>
        <w:tc>
          <w:tcPr>
            <w:tcW w:type="dxa" w:w="75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w:t>
            </w:r>
          </w:p>
        </w:tc>
        <w:tc>
          <w:tcPr>
            <w:tcW w:type="dxa" w:w="10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LSTM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THYAO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2018-26</w:t>
            </w:r>
          </w:p>
        </w:tc>
        <w:tc>
          <w:tcPr>
            <w:tcW w:type="dxa" w:w="8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57.56%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12/36</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57.42%</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60.00%</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p=0.0016</w:t>
            </w:r>
          </w:p>
        </w:tc>
      </w:tr>
      <w:tr>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CNN</w:t>
            </w:r>
          </w:p>
        </w:tc>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THYAO</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2018-26</w:t>
            </w:r>
          </w:p>
        </w:tc>
        <w:tc>
          <w:tcPr>
            <w:tcW w:type="dxa" w:w="8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53.97%</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9/36</w:t>
            </w:r>
          </w:p>
        </w:tc>
        <w:tc>
          <w:tcPr>
            <w:tcW w:type="dxa" w:w="7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75.80%</w:t>
            </w:r>
          </w:p>
        </w:tc>
        <w:tc>
          <w:tcPr>
            <w:tcW w:type="dxa" w:w="7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33.10%</w:t>
            </w:r>
          </w:p>
        </w:tc>
        <w:tc>
          <w:tcPr>
            <w:tcW w:type="dxa" w:w="101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p=0.0371</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ARIMA</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THYAO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2018-26</w:t>
            </w:r>
          </w:p>
        </w:tc>
        <w:tc>
          <w:tcPr>
            <w:tcW w:type="dxa" w:w="8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55.78%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N/A</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p=0.0102</w:t>
            </w:r>
          </w:p>
        </w:tc>
      </w:tr>
      <w:tr>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Naive</w:t>
            </w:r>
          </w:p>
        </w:tc>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THYAO</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2018-26</w:t>
            </w:r>
          </w:p>
        </w:tc>
        <w:tc>
          <w:tcPr>
            <w:tcW w:type="dxa" w:w="8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79.73%*</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N/A</w:t>
            </w:r>
          </w:p>
        </w:tc>
        <w:tc>
          <w:tcPr>
            <w:tcW w:type="dxa" w:w="7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w:t>
            </w:r>
          </w:p>
        </w:tc>
        <w:tc>
          <w:tcPr>
            <w:tcW w:type="dxa" w:w="7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w:t>
            </w:r>
          </w:p>
        </w:tc>
        <w:tc>
          <w:tcPr>
            <w:tcW w:type="dxa" w:w="101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LSTM (non-MC)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AZS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2021-26</w:t>
            </w:r>
          </w:p>
        </w:tc>
        <w:tc>
          <w:tcPr>
            <w:tcW w:type="dxa" w:w="8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68.89%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13/27</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79.17%</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66.67%</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p=0.0002</w:t>
            </w:r>
          </w:p>
        </w:tc>
      </w:tr>
      <w:tr>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CNN (non-MC)</w:t>
            </w:r>
          </w:p>
        </w:tc>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AZS</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2021-26</w:t>
            </w:r>
          </w:p>
        </w:tc>
        <w:tc>
          <w:tcPr>
            <w:tcW w:type="dxa" w:w="8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75.56%</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9/27</w:t>
            </w:r>
          </w:p>
        </w:tc>
        <w:tc>
          <w:tcPr>
            <w:tcW w:type="dxa" w:w="7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90.91%</w:t>
            </w:r>
          </w:p>
        </w:tc>
        <w:tc>
          <w:tcPr>
            <w:tcW w:type="dxa" w:w="7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62.50%</w:t>
            </w:r>
          </w:p>
        </w:tc>
        <w:tc>
          <w:tcPr>
            <w:tcW w:type="dxa" w:w="101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p=0.0002</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LSTM (non-MC)</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AMZ</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2021-26</w:t>
            </w:r>
          </w:p>
        </w:tc>
        <w:tc>
          <w:tcPr>
            <w:tcW w:type="dxa" w:w="8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80.21%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10/27</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84.00%</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85.71%</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p=0.0001</w:t>
            </w:r>
          </w:p>
        </w:tc>
      </w:tr>
      <w:tr>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CNN (non-MC)</w:t>
            </w:r>
          </w:p>
        </w:tc>
        <w:tc>
          <w:tcPr>
            <w:tcW w:type="dxa" w:w="7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AMZ</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2021-26</w:t>
            </w:r>
          </w:p>
        </w:tc>
        <w:tc>
          <w:tcPr>
            <w:tcW w:type="dxa" w:w="8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74.36%</w:t>
            </w:r>
          </w:p>
        </w:tc>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9/27</w:t>
            </w:r>
          </w:p>
        </w:tc>
        <w:tc>
          <w:tcPr>
            <w:tcW w:type="dxa" w:w="7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90.00%</w:t>
            </w:r>
          </w:p>
        </w:tc>
        <w:tc>
          <w:tcPr>
            <w:tcW w:type="dxa" w:w="75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33.33%</w:t>
            </w:r>
          </w:p>
        </w:tc>
        <w:tc>
          <w:tcPr>
            <w:tcW w:type="dxa" w:w="101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p=0.0001</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ALZ (tum)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ALZ</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2021-26</w:t>
            </w:r>
          </w:p>
        </w:tc>
        <w:tc>
          <w:tcPr>
            <w:tcW w:type="dxa" w:w="8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27/27</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100%</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NA</w:t>
            </w:r>
          </w:p>
        </w:tc>
        <w:tc>
          <w:tcPr>
            <w:tcW w:type="dxa" w:w="101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t>
            </w:r>
          </w:p>
        </w:tc>
      </w:tr>
    </w:tbl>
    <w:p>
      <w:r>
        <w:br w:type="page"/>
      </w:r>
    </w:p>
    <w:p>
      <w:pPr>
        <w:spacing w:after="200" w:before="800"/>
        <w:jc w:val="center"/>
      </w:pPr>
      <w:r>
        <w:rPr>
          <w:rFonts w:ascii="Arial" w:cs="Arial" w:eastAsia="Arial" w:hAnsi="Arial"/>
          <w:b/>
          <w:bCs/>
          <w:color w:val="1A3A5C"/>
          <w:sz w:val="48"/>
          <w:szCs w:val="48"/>
        </w:rPr>
        <w:t xml:space="preserve">APPENDIX I</w:t>
      </w:r>
    </w:p>
    <w:p>
      <w:pPr>
        <w:pBdr>
          <w:bottom w:val="single" w:color="1A6B72" w:sz="6" w:space="1"/>
        </w:pBdr>
        <w:spacing w:after="600"/>
        <w:jc w:val="center"/>
      </w:pPr>
      <w:r>
        <w:rPr>
          <w:rFonts w:ascii="Arial" w:cs="Arial" w:eastAsia="Arial" w:hAnsi="Arial"/>
          <w:b/>
          <w:bCs/>
          <w:color w:val="1A6B72"/>
          <w:sz w:val="30"/>
          <w:szCs w:val="30"/>
        </w:rPr>
        <w:t xml:space="preserve">TEST/TRAIN SINIF DAĞILIMI (UP/DOWN) SONUÇ RAPORU</w:t>
      </w:r>
    </w:p>
    <w:p>
      <w:pPr>
        <w:spacing w:after="80"/>
      </w:pPr>
      <w:r>
        <w:t xml:space="preserve"/>
      </w:r>
    </w:p>
    <w:p>
      <w:pPr>
        <w:pStyle w:val="Heading2"/>
        <w:spacing w:after="160" w:before="300"/>
      </w:pPr>
      <w:r>
        <w:rPr>
          <w:rFonts w:ascii="Arial" w:cs="Arial" w:eastAsia="Arial" w:hAnsi="Arial"/>
          <w:b/>
          <w:bCs/>
          <w:color w:val="1A6B72"/>
          <w:sz w:val="26"/>
          <w:szCs w:val="26"/>
        </w:rPr>
        <w:t xml:space="preserve">I.1 Sınıf Dağılımı Özeti</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4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Varlık</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Satır Sayıları</w:t>
            </w:r>
          </w:p>
        </w:tc>
        <w:tc>
          <w:tcPr>
            <w:tcW w:type="dxa" w:w="54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Sınıf Dağılımı (Up/Down)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THYAO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Train=1459, Val=313, Test=313 (Toplam=2085)</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Out=1: Test 155 Up / 157 Down (%49.7)</w:t>
            </w:r>
          </w:p>
        </w:tc>
      </w:tr>
      <w:tr>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THYAO</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
            </w:r>
          </w:p>
        </w:tc>
        <w:tc>
          <w:tcPr>
            <w:tcW w:type="dxa" w:w="5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Out=3: Test 160 Up / 150 Down (%51.6)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THYAO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Out=5: Test 163 Up / 145 Down (%52.9)</w:t>
            </w:r>
          </w:p>
        </w:tc>
      </w:tr>
      <w:tr>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ALZ</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Train=174, Val=37, Test=38 (Toplam=249)</w:t>
            </w:r>
          </w:p>
        </w:tc>
        <w:tc>
          <w:tcPr>
            <w:tcW w:type="dxa" w:w="5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Out=1: Test 37 Up / 0 Down (%100.0) — TAM MC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ALZ</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Out=3: Test 35 Up / 0 Down (%100.0) — TAM MC</w:t>
            </w:r>
          </w:p>
        </w:tc>
      </w:tr>
      <w:tr>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ALZ</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
            </w:r>
          </w:p>
        </w:tc>
        <w:tc>
          <w:tcPr>
            <w:tcW w:type="dxa" w:w="5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Out=5: Test 33 Up / 0 Down (%100.0) — TAM MC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AZS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Train=182, Val=39, Test=40 (Toplam=261)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Out=1: Test 27 Up / 12 Down (%69.2)</w:t>
            </w:r>
          </w:p>
        </w:tc>
      </w:tr>
      <w:tr>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AZS</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
            </w:r>
          </w:p>
        </w:tc>
        <w:tc>
          <w:tcPr>
            <w:tcW w:type="dxa" w:w="5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Out=3: Test 28 Up / 9 Down (%75.7)</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AZS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Out=5: Test 29 Up / 6 Down (%82.9)</w:t>
            </w:r>
          </w:p>
        </w:tc>
      </w:tr>
      <w:tr>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AMZ</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Train=183, Val=39, Test=40 (Toplam=262)</w:t>
            </w:r>
          </w:p>
        </w:tc>
        <w:tc>
          <w:tcPr>
            <w:tcW w:type="dxa" w:w="5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Out=1: Test 28 Up / 11 Down (%71.8)</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AMZ</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Out=3: Test 30 Up / 7 Down (%81.1)</w:t>
            </w:r>
          </w:p>
        </w:tc>
      </w:tr>
      <w:tr>
        <w:tc>
          <w:tcPr>
            <w:tcW w:type="dxa" w:w="9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AMZ</w:t>
            </w:r>
          </w:p>
        </w:tc>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
            </w:r>
          </w:p>
        </w:tc>
        <w:tc>
          <w:tcPr>
            <w:tcW w:type="dxa" w:w="54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Out=5: Test 29 Up / 6 Down (%82.9)</w:t>
            </w:r>
          </w:p>
        </w:tc>
      </w:tr>
    </w:tbl>
    <w:p>
      <w:pPr>
        <w:spacing w:after="80"/>
      </w:pPr>
      <w:r>
        <w:t xml:space="preserve"/>
      </w:r>
    </w:p>
    <w:p>
      <w:pPr>
        <w:pStyle w:val="Heading2"/>
        <w:spacing w:after="160" w:before="300"/>
      </w:pPr>
      <w:r>
        <w:rPr>
          <w:rFonts w:ascii="Arial" w:cs="Arial" w:eastAsia="Arial" w:hAnsi="Arial"/>
          <w:b/>
          <w:bCs/>
          <w:color w:val="1A6B72"/>
          <w:sz w:val="26"/>
          <w:szCs w:val="26"/>
        </w:rPr>
        <w:t xml:space="preserve">I.2 AMZ Fonu Detaylı Analizi (Yıldız Varlık)</w:t>
      </w:r>
    </w:p>
    <w:p>
      <w:pPr>
        <w:spacing w:after="120"/>
      </w:pPr>
      <w:r>
        <w:rPr>
          <w:rFonts w:ascii="Arial" w:cs="Arial" w:eastAsia="Arial" w:hAnsi="Arial"/>
          <w:color w:val="333333"/>
          <w:sz w:val="22"/>
          <w:szCs w:val="22"/>
        </w:rPr>
        <w:t xml:space="preserve">AMZ Out=3 için test setinde </w:t>
      </w:r>
      <w:r>
        <w:rPr>
          <w:rFonts w:ascii="Arial" w:cs="Arial" w:eastAsia="Arial" w:hAnsi="Arial"/>
          <w:b/>
          <w:bCs/>
          <w:color w:val="333333"/>
          <w:sz w:val="22"/>
          <w:szCs w:val="22"/>
        </w:rPr>
        <w:t xml:space="preserve">30 Up / 7 Down</w:t>
      </w:r>
      <w:r>
        <w:rPr>
          <w:rFonts w:ascii="Arial" w:cs="Arial" w:eastAsia="Arial" w:hAnsi="Arial"/>
          <w:color w:val="333333"/>
          <w:sz w:val="22"/>
          <w:szCs w:val="22"/>
        </w:rPr>
        <w:t xml:space="preserve"> dağılımı mevcuttur. Bu asimetrik yapı (Minority class: Down=%18.9), Majority Class İllüzyonu riskini doğrular; class_weight uygulaması ile model gerçek öğrenmeyi gösterebilmiştir.</w:t>
      </w:r>
    </w:p>
    <w:p>
      <w:pPr>
        <w:spacing w:after="80"/>
      </w:pPr>
      <w:r>
        <w:t xml:space="preserve"/>
      </w:r>
    </w:p>
    <w:p>
      <w:pPr>
        <w:pStyle w:val="Heading2"/>
        <w:spacing w:after="160" w:before="300"/>
      </w:pPr>
      <w:r>
        <w:rPr>
          <w:rFonts w:ascii="Arial" w:cs="Arial" w:eastAsia="Arial" w:hAnsi="Arial"/>
          <w:b/>
          <w:bCs/>
          <w:color w:val="1A6B72"/>
          <w:sz w:val="26"/>
          <w:szCs w:val="26"/>
        </w:rPr>
        <w:t xml:space="preserve">I.3 ALZ Fonu Kontrol Grubu Analizi</w:t>
      </w:r>
    </w:p>
    <w:p>
      <w:pPr>
        <w:spacing w:after="120"/>
      </w:pPr>
      <w:r>
        <w:rPr>
          <w:rFonts w:ascii="Arial" w:cs="Arial" w:eastAsia="Arial" w:hAnsi="Arial"/>
          <w:b/>
          <w:bCs/>
          <w:color w:val="333333"/>
          <w:sz w:val="22"/>
          <w:szCs w:val="22"/>
        </w:rPr>
        <w:t xml:space="preserve">Out=1, 3, 5 için test setinde 0 düşüş gözlemi mevcuttur.</w:t>
      </w:r>
      <w:r>
        <w:rPr>
          <w:rFonts w:ascii="Arial" w:cs="Arial" w:eastAsia="Arial" w:hAnsi="Arial"/>
          <w:color w:val="333333"/>
          <w:sz w:val="22"/>
          <w:szCs w:val="22"/>
        </w:rPr>
        <w:t xml:space="preserve"> Bu durum, ALZ'yi matematiksel olarak ikili sınıflandırma problemi dışına taşımaktadır. Tüm modeller %100 Accuracy elde etmiş, ancak bu 'Majority Class İllüzyonu'nun nihai kanıtıdır.</w:t>
      </w:r>
    </w:p>
    <w:p>
      <w:pPr>
        <w:spacing w:after="80"/>
      </w:pPr>
      <w:r>
        <w:t xml:space="preserve"/>
      </w:r>
    </w:p>
    <w:p>
      <w:pPr>
        <w:pStyle w:val="Heading2"/>
        <w:spacing w:after="160" w:before="300"/>
      </w:pPr>
      <w:r>
        <w:rPr>
          <w:rFonts w:ascii="Arial" w:cs="Arial" w:eastAsia="Arial" w:hAnsi="Arial"/>
          <w:b/>
          <w:bCs/>
          <w:color w:val="1A6B72"/>
          <w:sz w:val="26"/>
          <w:szCs w:val="26"/>
        </w:rPr>
        <w:t xml:space="preserve">I.4 THYAO Sınıf Dengesi</w:t>
      </w:r>
    </w:p>
    <w:p>
      <w:pPr>
        <w:spacing w:after="120"/>
      </w:pPr>
      <w:r>
        <w:rPr>
          <w:rFonts w:ascii="Arial" w:cs="Arial" w:eastAsia="Arial" w:hAnsi="Arial"/>
          <w:color w:val="333333"/>
          <w:sz w:val="22"/>
          <w:szCs w:val="22"/>
        </w:rPr>
        <w:t xml:space="preserve">THYAO Out=1 için test setinde 155 Up / 157 Down ile neredeyse </w:t>
      </w:r>
      <w:r>
        <w:rPr>
          <w:rFonts w:ascii="Arial" w:cs="Arial" w:eastAsia="Arial" w:hAnsi="Arial"/>
          <w:b/>
          <w:bCs/>
          <w:color w:val="333333"/>
          <w:sz w:val="22"/>
          <w:szCs w:val="22"/>
        </w:rPr>
        <w:t xml:space="preserve">mükemmel sınıf dengesi</w:t>
      </w:r>
      <w:r>
        <w:rPr>
          <w:rFonts w:ascii="Arial" w:cs="Arial" w:eastAsia="Arial" w:hAnsi="Arial"/>
          <w:color w:val="333333"/>
          <w:sz w:val="22"/>
          <w:szCs w:val="22"/>
        </w:rPr>
        <w:t xml:space="preserve"> (%49.7/%50.3) gözlemlenmektedir. Bu yapı, modellerin gerçek öğrenme kapasitesini test etmek için ideal koşullar sunmaktadır.</w:t>
      </w:r>
    </w:p>
    <w:p>
      <w:pPr>
        <w:spacing w:after="80"/>
      </w:pPr>
      <w:r>
        <w:t xml:space="preserve"/>
      </w:r>
    </w:p>
    <w:p>
      <w:pPr>
        <w:shd w:fill="FFF8E1" w:val="clear"/>
        <w:spacing w:after="120"/>
      </w:pPr>
      <w:r>
        <w:rPr>
          <w:rFonts w:ascii="Arial" w:cs="Arial" w:eastAsia="Arial" w:hAnsi="Arial"/>
          <w:b/>
          <w:bCs/>
          <w:color w:val="E65100"/>
          <w:sz w:val="20"/>
          <w:szCs w:val="20"/>
        </w:rPr>
        <w:t xml:space="preserve">NOT: </w:t>
      </w:r>
      <w:r>
        <w:rPr>
          <w:rFonts w:ascii="Arial" w:cs="Arial" w:eastAsia="Arial" w:hAnsi="Arial"/>
          <w:i/>
          <w:iCs/>
          <w:color w:val="333333"/>
          <w:sz w:val="20"/>
          <w:szCs w:val="20"/>
        </w:rPr>
        <w:t xml:space="preserve">Tüm sınıf dağılımı sayıları APPENDIX_I_SONUCLARI.txt ve CSV_TUM_SONUCLAR.html ile %100 örtüşmektedir.</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jc w:val="right"/>
    </w:pPr>
    <w:r>
      <w:rPr>
        <w:rFonts w:ascii="Arial" w:cs="Arial" w:eastAsia="Arial" w:hAnsi="Arial"/>
        <w:color w:val="666666"/>
        <w:sz w:val="18"/>
        <w:szCs w:val="18"/>
      </w:rPr>
      <w:t xml:space="preserve">Sayfa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pPr>
    <w:r>
      <w:rPr>
        <w:rFonts w:ascii="Arial" w:cs="Arial" w:eastAsia="Arial" w:hAnsi="Arial"/>
        <w:b/>
        <w:bCs/>
        <w:color w:val="1A3A5C"/>
        <w:sz w:val="18"/>
        <w:szCs w:val="18"/>
      </w:rPr>
      <w:t xml:space="preserve">APPENDIX KOLEKSIYONU</w:t>
    </w:r>
    <w:r>
      <w:rPr>
        <w:rFonts w:ascii="Arial" w:cs="Arial" w:eastAsia="Arial" w:hAnsi="Arial"/>
        <w:color w:val="666666"/>
        <w:sz w:val="18"/>
        <w:szCs w:val="18"/>
      </w:rPr>
      <w:t xml:space="preserve">   |   Derin Öğrenme ile Finansal Tahmin Projesi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1A6B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2026-04-14T06:58:24.806Z</dcterms:created>
  <dcterms:modified xsi:type="dcterms:W3CDTF">2026-04-14T06:58:24.807Z</dcterms:modified>
</cp:coreProperties>
</file>

<file path=docProps/custom.xml><?xml version="1.0" encoding="utf-8"?>
<Properties xmlns="http://schemas.openxmlformats.org/officeDocument/2006/custom-properties" xmlns:vt="http://schemas.openxmlformats.org/officeDocument/2006/docPropsVTypes"/>
</file>