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0"/>
      </w:pPr>
      <w:r>
        <w:rPr>
          <w:sz w:val="24"/>
          <w:szCs w:val="24"/>
        </w:rPr>
        <w:t xml:space="preserve"/>
      </w:r>
    </w:p>
    <w:p>
      <w:pPr>
        <w:jc w:val="center"/>
      </w:pPr>
      <w:r>
        <w:rPr>
          <w:rFonts w:ascii="Arial" w:cs="Arial" w:eastAsia="Arial" w:hAnsi="Arial"/>
          <w:b/>
          <w:bCs/>
          <w:color w:val="2E4057"/>
          <w:sz w:val="32"/>
          <w:szCs w:val="32"/>
        </w:rPr>
        <w:t xml:space="preserve">TİLBURG ÜNİVERSİTESİ</w:t>
      </w:r>
    </w:p>
    <w:p>
      <w:pPr>
        <w:jc w:val="center"/>
      </w:pPr>
      <w:r>
        <w:rPr>
          <w:rFonts w:ascii="Arial" w:cs="Arial" w:eastAsia="Arial" w:hAnsi="Arial"/>
          <w:color w:val="555555"/>
          <w:sz w:val="26"/>
          <w:szCs w:val="26"/>
        </w:rPr>
        <w:t xml:space="preserve">Beşeri Bilimler ve Dijital Bilimler Fakültesi</w:t>
      </w:r>
    </w:p>
    <w:p>
      <w:pPr>
        <w:spacing w:after="60" w:before="60"/>
      </w:pPr>
      <w:r>
        <w:t xml:space="preserve"/>
      </w:r>
    </w:p>
    <w:p>
      <w:pPr>
        <w:spacing w:after="60" w:before="60"/>
      </w:pPr>
      <w:r>
        <w:t xml:space="preserve"/>
      </w:r>
    </w:p>
    <w:p>
      <w:pPr>
        <w:jc w:val="center"/>
      </w:pPr>
      <w:r>
        <w:rPr>
          <w:rFonts w:ascii="Arial" w:cs="Arial" w:eastAsia="Arial" w:hAnsi="Arial"/>
          <w:b/>
          <w:bCs/>
          <w:color w:val="2E4057"/>
          <w:sz w:val="32"/>
          <w:szCs w:val="32"/>
        </w:rPr>
        <w:t xml:space="preserve">Trendlerde Yol Bulmak: Hisse Senedi Tahmininde</w:t>
      </w:r>
    </w:p>
    <w:p>
      <w:pPr>
        <w:jc w:val="center"/>
      </w:pPr>
      <w:r>
        <w:rPr>
          <w:rFonts w:ascii="Arial" w:cs="Arial" w:eastAsia="Arial" w:hAnsi="Arial"/>
          <w:b/>
          <w:bCs/>
          <w:color w:val="2E4057"/>
          <w:sz w:val="32"/>
          <w:szCs w:val="32"/>
        </w:rPr>
        <w:t xml:space="preserve">Teknik, Tarihsel ve Birleşik Göstergelerle LSTM,</w:t>
      </w:r>
    </w:p>
    <w:p>
      <w:pPr>
        <w:jc w:val="center"/>
      </w:pPr>
      <w:r>
        <w:rPr>
          <w:rFonts w:ascii="Arial" w:cs="Arial" w:eastAsia="Arial" w:hAnsi="Arial"/>
          <w:b/>
          <w:bCs/>
          <w:color w:val="2E4057"/>
          <w:sz w:val="32"/>
          <w:szCs w:val="32"/>
        </w:rPr>
        <w:t xml:space="preserve">ARIMA ve CNN Modellerinin Karşılaştırmalı Çalışması</w:t>
      </w:r>
    </w:p>
    <w:p>
      <w:pPr>
        <w:spacing w:after="60" w:before="60"/>
      </w:pPr>
      <w:r>
        <w:t xml:space="preserve"/>
      </w:r>
    </w:p>
    <w:p>
      <w:pPr>
        <w:spacing w:after="60" w:before="60"/>
      </w:pPr>
      <w:r>
        <w:t xml:space="preserve"/>
      </w:r>
    </w:p>
    <w:p>
      <w:pPr>
        <w:jc w:val="center"/>
      </w:pPr>
      <w:r>
        <w:rPr>
          <w:rFonts w:ascii="Arial" w:cs="Arial" w:eastAsia="Arial" w:hAnsi="Arial"/>
          <w:i/>
          <w:iCs/>
          <w:sz w:val="26"/>
          <w:szCs w:val="26"/>
        </w:rPr>
        <w:t xml:space="preserve">J.J. van der Burgt</w:t>
      </w:r>
    </w:p>
    <w:p>
      <w:pPr>
        <w:spacing w:after="60" w:before="60"/>
      </w:pPr>
      <w:r>
        <w:t xml:space="preserve"/>
      </w:r>
    </w:p>
    <w:p>
      <w:pPr>
        <w:spacing w:after="60" w:before="60"/>
      </w:pPr>
      <w:r>
        <w:t xml:space="preserve"/>
      </w:r>
    </w:p>
    <w:p>
      <w:pPr>
        <w:jc w:val="center"/>
      </w:pPr>
      <w:r>
        <w:rPr>
          <w:rFonts w:ascii="Arial" w:cs="Arial" w:eastAsia="Arial" w:hAnsi="Arial"/>
          <w:b/>
          <w:bCs/>
          <w:color w:val="555555"/>
          <w:sz w:val="22"/>
          <w:szCs w:val="22"/>
        </w:rPr>
        <w:t xml:space="preserve">VERİ BİLİMİ VE TOPLUM YÜKSEK LİSANS PROGRAMI</w:t>
      </w:r>
    </w:p>
    <w:p>
      <w:pPr>
        <w:jc w:val="center"/>
      </w:pPr>
      <w:r>
        <w:rPr>
          <w:rFonts w:ascii="Arial" w:cs="Arial" w:eastAsia="Arial" w:hAnsi="Arial"/>
          <w:b/>
          <w:bCs/>
          <w:color w:val="555555"/>
          <w:sz w:val="22"/>
          <w:szCs w:val="22"/>
        </w:rPr>
        <w:t xml:space="preserve">YÜKSEK LİSANS TEZİ</w:t>
      </w:r>
    </w:p>
    <w:p>
      <w:pPr>
        <w:spacing w:after="60" w:before="60"/>
      </w:pPr>
      <w:r>
        <w:t xml:space="preserve"/>
      </w:r>
    </w:p>
    <w:p>
      <w:pPr>
        <w:jc w:val="center"/>
      </w:pPr>
      <w:r>
        <w:rPr>
          <w:rFonts w:ascii="Arial" w:cs="Arial" w:eastAsia="Arial" w:hAnsi="Arial"/>
          <w:sz w:val="22"/>
          <w:szCs w:val="22"/>
        </w:rPr>
        <w:t xml:space="preserve">Öğrenci No: 2038343</w:t>
      </w:r>
    </w:p>
    <w:p>
      <w:pPr>
        <w:jc w:val="center"/>
      </w:pPr>
      <w:r>
        <w:rPr>
          <w:rFonts w:ascii="Arial" w:cs="Arial" w:eastAsia="Arial" w:hAnsi="Arial"/>
          <w:sz w:val="22"/>
          <w:szCs w:val="22"/>
        </w:rPr>
        <w:t xml:space="preserve">Tez Jürisi: Dr. Juan Sebastian Olier | Fred Atilla</w:t>
      </w:r>
    </w:p>
    <w:p>
      <w:pPr>
        <w:jc w:val="center"/>
      </w:pPr>
      <w:r>
        <w:rPr>
          <w:rFonts w:ascii="Arial" w:cs="Arial" w:eastAsia="Arial" w:hAnsi="Arial"/>
          <w:sz w:val="22"/>
          <w:szCs w:val="22"/>
        </w:rPr>
        <w:t xml:space="preserve">Tarih: 15 Ocak 2023</w:t>
      </w:r>
    </w:p>
    <w:p>
      <w:pPr>
        <w:jc w:val="center"/>
      </w:pPr>
      <w:r>
        <w:rPr>
          <w:rFonts w:ascii="Arial" w:cs="Arial" w:eastAsia="Arial" w:hAnsi="Arial"/>
          <w:sz w:val="22"/>
          <w:szCs w:val="22"/>
        </w:rPr>
        <w:t xml:space="preserve">Kelime Sayısı: 8.364</w:t>
      </w:r>
    </w:p>
    <w:p>
      <w:r>
        <w:br w:type="page"/>
      </w:r>
    </w:p>
    <w:p>
      <w:pPr>
        <w:pStyle w:val="Heading1"/>
        <w:spacing w:after="200" w:before="400"/>
      </w:pPr>
      <w:r>
        <w:rPr>
          <w:rFonts w:ascii="Arial" w:cs="Arial" w:eastAsia="Arial" w:hAnsi="Arial"/>
          <w:b/>
          <w:bCs/>
          <w:sz w:val="32"/>
          <w:szCs w:val="32"/>
        </w:rPr>
        <w:t xml:space="preserve">Veri Kaynağı / Kod / Etik / Teknoloji Bildirimi</w:t>
      </w:r>
    </w:p>
    <w:p>
      <w:pPr>
        <w:spacing w:after="100" w:before="100"/>
        <w:jc w:val="both"/>
      </w:pPr>
      <w:r>
        <w:rPr>
          <w:rFonts w:ascii="Arial" w:cs="Arial" w:eastAsia="Arial" w:hAnsi="Arial"/>
          <w:sz w:val="24"/>
          <w:szCs w:val="24"/>
        </w:rPr>
        <w:t xml:space="preserve">Tezdeki veriler çeşitli web sitelerinden elde edilmiş olup verilerin sahibi, söz konusu verilerin toplandığı ilgili web siteleridir. İnsan veya hayvan katılımcılardan herhangi bir veri toplanmamıştır. Veriler bu web sitelerinden ücretsiz olarak indirilebilmekte olup bu durum, verilerin kullanımına zımni onay verildiğini göstermektedir. Edinim kanalı internet olup veriler CSV dosyaları biçiminde indirilerek elde edilmiştir. Tezdeki tüm görsel ve şekiller yazar tarafından oluşturulmuş, harici onay gerektiren görsel materyallere başvurulmamıştır.</w:t>
      </w:r>
    </w:p>
    <w:p>
      <w:pPr>
        <w:spacing w:after="60" w:before="60"/>
      </w:pPr>
      <w:r>
        <w:t xml:space="preserve"/>
      </w:r>
    </w:p>
    <w:p>
      <w:pPr>
        <w:spacing w:after="100" w:before="100"/>
        <w:jc w:val="both"/>
      </w:pPr>
      <w:r>
        <w:rPr>
          <w:rFonts w:ascii="Arial" w:cs="Arial" w:eastAsia="Arial" w:hAnsi="Arial"/>
          <w:sz w:val="24"/>
          <w:szCs w:val="24"/>
        </w:rPr>
        <w:t xml:space="preserve">Tez, insan veya hayvan katılımcılardan yeni veri elde edilmesini içermemektedir. Tezde kullanılan veriler; sayılar ve finansal veriler gibi olgusal bilgilerden oluşmakta ve temsili nitelik taşımaktadır. Veri kümesinde bilinen herhangi bir yanlılık bulunmamaktadır. Çalışma insan veya hayvan katılımcıları kapsamadığından, verilerle ilişkili özel bir kimliksizleştirme rejimi uygulanmamıştır.</w:t>
      </w:r>
    </w:p>
    <w:p>
      <w:pPr>
        <w:spacing w:after="60" w:before="60"/>
      </w:pPr>
      <w:r>
        <w:t xml:space="preserve"/>
      </w:r>
    </w:p>
    <w:p>
      <w:pPr>
        <w:spacing w:after="100" w:before="100"/>
        <w:jc w:val="both"/>
      </w:pPr>
      <w:r>
        <w:rPr>
          <w:rFonts w:ascii="Arial" w:cs="Arial" w:eastAsia="Arial" w:hAnsi="Arial"/>
          <w:sz w:val="24"/>
          <w:szCs w:val="24"/>
        </w:rPr>
        <w:t xml:space="preserve">Tezde başka bir kaynaktan alınan kod kullanılmamış; tüm kodlar yazar tarafından geliştirilmiştir. Çalışmada kullanılan tüm kütüphane ve çerçevelerin sürüm numaralarını içeren kapsamlı bir liste sunulmuştur (Bölüm 3.5).</w:t>
      </w:r>
    </w:p>
    <w:p>
      <w:pPr>
        <w:spacing w:after="60" w:before="60"/>
      </w:pPr>
      <w:r>
        <w:t xml:space="preserve"/>
      </w:r>
    </w:p>
    <w:p>
      <w:pPr>
        <w:spacing w:after="100" w:before="100"/>
        <w:jc w:val="both"/>
      </w:pPr>
      <w:r>
        <w:rPr>
          <w:rFonts w:ascii="Arial" w:cs="Arial" w:eastAsia="Arial" w:hAnsi="Arial"/>
          <w:sz w:val="24"/>
          <w:szCs w:val="24"/>
        </w:rPr>
        <w:t xml:space="preserve">Yazım ve dil bilgisi denetimi için Microsoft Word ile Grammarly birlikte kullanılmıştır. Metnin yeniden ifade edilmesi veya dizgilenmesi amacıyla başka herhangi bir araç ya da hizmetten yararlanılmamıştır.</w:t>
      </w:r>
    </w:p>
    <w:p>
      <w:r>
        <w:br w:type="page"/>
      </w:r>
    </w:p>
    <w:p>
      <w:pPr>
        <w:pStyle w:val="Heading1"/>
        <w:spacing w:after="200" w:before="400"/>
      </w:pPr>
      <w:r>
        <w:rPr>
          <w:rFonts w:ascii="Arial" w:cs="Arial" w:eastAsia="Arial" w:hAnsi="Arial"/>
          <w:b/>
          <w:bCs/>
          <w:sz w:val="32"/>
          <w:szCs w:val="32"/>
        </w:rPr>
        <w:t xml:space="preserve">1. Giriş: Problem Tanımı ve Araştırma Hedefi</w:t>
      </w:r>
    </w:p>
    <w:p>
      <w:pPr>
        <w:spacing w:after="100" w:before="100"/>
        <w:jc w:val="both"/>
      </w:pPr>
      <w:r>
        <w:rPr>
          <w:rFonts w:ascii="Arial" w:cs="Arial" w:eastAsia="Arial" w:hAnsi="Arial"/>
          <w:sz w:val="24"/>
          <w:szCs w:val="24"/>
        </w:rPr>
        <w:t xml:space="preserve">Bu araştırma projesi; Otoregresif Entegre Hareketli Ortalama (ARIMA), Uzun Kısa Süreli Bellek (LSTM) ve 1 Boyutlu Evrişimsel Sinir Ağı (1D-CNN) modellerinin kısa vadeli hisse senedi trend tahminindeki performanslarını, tarihsel ve teknik göstergeleri entegre ederek karşılaştırmayı amaçlamaktadır. Yalnızca tarihsel veya teknik göstergelere odaklanan pek çok mevcut modelin aksine bu çalışma, her iki kategoriyi de bir arada ele almaktadır. En güncel yöntem olarak kabul edilen LSTM, ARIMA ve CNN ile birlikte değerlendirilmektedir. Araştırmada örnek olay olarak NASDAQ100 kullanılmakta ve farklı girdi ile çıktı zaman ufuklarının kısa vadeli hisse senedi trend tahminleri üzerindeki etkisi incelenmektedir. Bunun yanı sıra çalışma, NASDAQ100 içindeki çeşitli sektörlerde model performansını analiz ederek kapsamlı bir değerlendirme sunmaktadır. Bu zorlukların ele alınması yoluyla araştırma, LSTM'nin baskınlığı bağlamında bile ARIMA ve CNN'nin uygulanabilirliğini ve performansını yeniden değerlendirmektedir. Değerlendirme; kesinlik, duyarlılık ve F1-puanının hisse senedi trend tahmininde karlılıkla karşılaştırıldığında daha az ilgili olduğu düşünüldüğünden, doğruluk üzerinde yoğunlaşacaktır.</w:t>
      </w:r>
    </w:p>
    <w:p>
      <w:pPr>
        <w:spacing w:after="60" w:before="60"/>
      </w:pPr>
      <w:r>
        <w:t xml:space="preserve"/>
      </w:r>
    </w:p>
    <w:p>
      <w:pPr>
        <w:spacing w:after="100" w:before="100"/>
        <w:jc w:val="both"/>
      </w:pPr>
      <w:r>
        <w:rPr>
          <w:rFonts w:ascii="Arial" w:cs="Arial" w:eastAsia="Arial" w:hAnsi="Arial"/>
          <w:sz w:val="24"/>
          <w:szCs w:val="24"/>
        </w:rPr>
        <w:t xml:space="preserve">Son on yılda, makine öğrenmesinin hisse senedi fiyatı tahmininde kullanımı belirgin biçimde artmış; bu durum etkin piyasa hipotezine meydan okuyarak veri odaklı bir yaklaşımın ön plana çıkmasını sağlamıştır. Bu tez, finans dünyasında önemli bir alan olan hisse senedi trend tahmini alanına odaklanmaktadır. Kısa vadeli hisse senedi tahmini için baskın model olan LSTM, teknik göstergeleri kapsayan çeşitli çalışmalarda yer almıştır (Namin ve Namin, 2018; Balaji ve ark., 2018; Li ve Lao, 2017; Yao ve ark., 2018; Nelson ve ark., 2017; Borovka ve Tsiamas, 2019; Chen ve Ge, 2019; Kobiela ve ark., 2022; Dong, 2022). Bu çalışma; tarihsel ve teknik göstergeleri, farklı girdi ve çıktı zaman dilimlerini ve NASDAQ100 içindeki çeşitli sektörlerde tahmin doğruluğunun değerlendirilmesini bir araya getirerek özgün bir boyut kazandırmaktadır—bu unsurlar mevcut literatürde büyük ölçüde göz ardı edilmektedir. Tarihsel hisse senedi verileriyle tanınan ARIMA, bu genişletilmiş bağlamda LSTM'yi geride bırakabilir (Kobiela ve ark., 2022). ARIMA ve LSTM'nin ötesinde çalışma, 1D-CNN'yi de hisse senedi trend tahmininin genişletilmiş bağlamında incelemektedir (Di Persio ve Honchar, 2016; Gunduz ve ark., 2017). Bu kapsamlı karşılaştırma, hisse senedi fiyatı tahmininin dinamik alanında makine öğrenmesi modellerine dair anlayışı derinleştirmektedir.</w:t>
      </w:r>
    </w:p>
    <w:p>
      <w:pPr>
        <w:spacing w:after="60" w:before="60"/>
      </w:pPr>
      <w:r>
        <w:t xml:space="preserve"/>
      </w:r>
    </w:p>
    <w:p>
      <w:pPr>
        <w:spacing w:after="100" w:before="100"/>
        <w:jc w:val="both"/>
      </w:pPr>
      <w:r>
        <w:rPr>
          <w:rFonts w:ascii="Arial" w:cs="Arial" w:eastAsia="Arial" w:hAnsi="Arial"/>
          <w:sz w:val="24"/>
          <w:szCs w:val="24"/>
        </w:rPr>
        <w:t xml:space="preserve">Bu gerekçeler doğrultusunda şu problem tanımına ulaşılmaktadır: Bu çalışma, kısa vadeli hisse senedi trend tahmininde en etkili tahmin modelini (ARIMA, LSTM veya 1D-CNN) belirleme sorununu ele almaktadır. Tarihsel ve teknik göstergeler dahil olmak üzere çeşitli girdi özelliklerinin etkisini araştırmakta ve model performansının farklı girdi-çıktı uzunlukları ile çeşitli tahmin sektörlerinde nasıl değiştiğini incelemektedir.</w:t>
      </w:r>
    </w:p>
    <w:p>
      <w:pPr>
        <w:spacing w:after="60" w:before="60"/>
      </w:pPr>
      <w:r>
        <w:t xml:space="preserve"/>
      </w:r>
    </w:p>
    <w:p>
      <w:pPr>
        <w:spacing w:after="100" w:before="100"/>
        <w:jc w:val="both"/>
      </w:pPr>
      <w:r>
        <w:rPr>
          <w:rFonts w:ascii="Arial" w:cs="Arial" w:eastAsia="Arial" w:hAnsi="Arial"/>
          <w:sz w:val="24"/>
          <w:szCs w:val="24"/>
        </w:rPr>
        <w:t xml:space="preserve">Toplumsal açıdan bu çalışma, günlük yatırımcıların yaşadığı yüksek kayıp oranlarını azaltma sorununu ele almaktadır (Barber ve ark., 2014). Ticarete veri modellerinin uygulanması, duygusal karar almayı ortadan kaldıran, özellikle bireysel yatırımcılar için faydalı bir veri odaklı çözüm sunmaktadır. Üstelik bu modellerin karşılaştırılması, günlük yatırımcılara finansal piyasalardaki temel kalıplara dayalı daha bilinçli kararlar alma imkânı tanıyarak ticaret stratejilerini geliştirmelerine olanak sağlamaktadır.</w:t>
      </w:r>
    </w:p>
    <w:p>
      <w:pPr>
        <w:spacing w:after="60" w:before="60"/>
      </w:pPr>
      <w:r>
        <w:t xml:space="preserve"/>
      </w:r>
    </w:p>
    <w:p>
      <w:pPr>
        <w:spacing w:after="100" w:before="100"/>
        <w:jc w:val="both"/>
      </w:pPr>
      <w:r>
        <w:rPr>
          <w:rFonts w:ascii="Arial" w:cs="Arial" w:eastAsia="Arial" w:hAnsi="Arial"/>
          <w:sz w:val="24"/>
          <w:szCs w:val="24"/>
        </w:rPr>
        <w:t xml:space="preserve">Bilimsel açıdan bu çalışma, gözden kaçırılan teknik ve tarihsel göstergeleri bir araya getirerek mevcut literatürdeki boşlukları gidermektedir. Bu göstergelerin dahil edilmesi, piyasa dinamiklerine ilişkin daha derin içgörüler sunma ve hisse senedi trendlerini etkileyen faktörlerin bütüncül bir görünümünü ortaya koyma potansiyeli göz önünde bulundurularak haklı kılınmaktadır. Daha kapsamlı bir yaklaşımla modellerin, görece basit modellerle gerçekleştirilen önceki çalışmaları geride bırakması beklenmektedir. Farklı girdi ve çıktı zaman ufuklarının araştırılması, çeşitli piyasa davranışlarını yakalayarak tahmin doğruluğunu artırması öngörülmektedir. Bu yaklaşım, söz konusu özelliklerin tahmin modellemesindeki önemini ortaya koyarak anlayışı ilerlетmeyi hedeflemektedir. Araştırma, NASDAQ100 sektörleri genelinde optimum konfigürasyonları analiz etmek açısından özgün bir nitelik taşımakta; mevcut literatürdeki bir boşluğu doldurmakta ve önerilen konfigürasyonların genelleşebilirliğine ile etkinliğine dair değerli içgörüler sunmaktadır.</w:t>
      </w:r>
    </w:p>
    <w:p>
      <w:pPr>
        <w:spacing w:after="60" w:before="60"/>
      </w:pPr>
      <w:r>
        <w:t xml:space="preserve"/>
      </w:r>
    </w:p>
    <w:p>
      <w:pPr>
        <w:spacing w:after="100" w:before="100"/>
        <w:jc w:val="both"/>
      </w:pPr>
      <w:r>
        <w:rPr>
          <w:rFonts w:ascii="Arial" w:cs="Arial" w:eastAsia="Arial" w:hAnsi="Arial"/>
          <w:sz w:val="24"/>
          <w:szCs w:val="24"/>
        </w:rPr>
        <w:t xml:space="preserve">Yukarıdaki bilgiler doğrultusunda birincil araştırma sorusu şöyle ifade edilmektedir:</w:t>
      </w:r>
    </w:p>
    <w:p>
      <w:pPr>
        <w:spacing w:after="60" w:before="60"/>
      </w:pPr>
      <w:r>
        <w:t xml:space="preserve"/>
      </w:r>
    </w:p>
    <w:p>
      <w:pPr>
        <w:spacing w:after="100" w:before="100"/>
        <w:jc w:val="both"/>
      </w:pPr>
      <w:r>
        <w:rPr>
          <w:rFonts w:ascii="Arial" w:cs="Arial" w:eastAsia="Arial" w:hAnsi="Arial"/>
          <w:i/>
          <w:iCs/>
          <w:sz w:val="24"/>
          <w:szCs w:val="24"/>
        </w:rPr>
        <w:t xml:space="preserve">NASDAQ100'deki kısa vadeli trendlerin (yükseliş trendi / düşüş trendi) tahmininde LSTM, ARIMA ve 1D-CNN modellerinin doğruluğu; farklı zaman dilimlerinde ve sektörlerde tarihsel, temel ve teknik göstergelerin dahil edilmesi dikkate alındığında nasıl farklılık göstermektedir?</w:t>
      </w:r>
    </w:p>
    <w:p>
      <w:pPr>
        <w:spacing w:after="60" w:before="60"/>
      </w:pPr>
      <w:r>
        <w:t xml:space="preserve"/>
      </w:r>
    </w:p>
    <w:p>
      <w:pPr>
        <w:spacing w:after="100" w:before="100"/>
        <w:jc w:val="both"/>
      </w:pPr>
      <w:r>
        <w:rPr>
          <w:rFonts w:ascii="Arial" w:cs="Arial" w:eastAsia="Arial" w:hAnsi="Arial"/>
          <w:sz w:val="24"/>
          <w:szCs w:val="24"/>
        </w:rPr>
        <w:t xml:space="preserve">Bu soruya kapsamlı destek sağlamak amacıyla aşağıdaki alt araştırma soruları oluşturulmuştur:</w:t>
      </w:r>
    </w:p>
    <w:p>
      <w:pPr>
        <w:spacing w:after="60" w:before="60"/>
      </w:pPr>
      <w:r>
        <w:t xml:space="preserve"/>
      </w:r>
    </w:p>
    <w:p>
      <w:pPr>
        <w:pStyle w:val="ListParagraph"/>
        <w:numPr>
          <w:ilvl w:val="0"/>
          <w:numId w:val="2"/>
        </w:numPr>
      </w:pPr>
      <w:r>
        <w:rPr>
          <w:rFonts w:ascii="Arial" w:cs="Arial" w:eastAsia="Arial" w:hAnsi="Arial"/>
          <w:sz w:val="24"/>
          <w:szCs w:val="24"/>
        </w:rPr>
        <w:t xml:space="preserve">Tarihsel ve teknik göstergeler dahil olmak üzere çeşitli gösterge türleri analize entegre edildiğinde ARIMA, LSTM ve 1D-CNN modellerinin doğruluğu nasıl farklılık göstermektedir?</w:t>
      </w:r>
    </w:p>
    <w:p>
      <w:pPr>
        <w:pStyle w:val="ListParagraph"/>
        <w:numPr>
          <w:ilvl w:val="0"/>
          <w:numId w:val="2"/>
        </w:numPr>
      </w:pPr>
      <w:r>
        <w:rPr>
          <w:rFonts w:ascii="Arial" w:cs="Arial" w:eastAsia="Arial" w:hAnsi="Arial"/>
          <w:sz w:val="24"/>
          <w:szCs w:val="24"/>
        </w:rPr>
        <w:t xml:space="preserve">2 günden 6 güne kadar uzanan girdi zaman ufuklarındaki değişim, ARIMA, LSTM ve 1D-CNN modellerinin karşılaştırılmasında tahmin doğruluğunu nasıl etkilemektedir?</w:t>
      </w:r>
    </w:p>
    <w:p>
      <w:pPr>
        <w:pStyle w:val="ListParagraph"/>
        <w:numPr>
          <w:ilvl w:val="0"/>
          <w:numId w:val="2"/>
        </w:numPr>
      </w:pPr>
      <w:r>
        <w:rPr>
          <w:rFonts w:ascii="Arial" w:cs="Arial" w:eastAsia="Arial" w:hAnsi="Arial"/>
          <w:sz w:val="24"/>
          <w:szCs w:val="24"/>
        </w:rPr>
        <w:t xml:space="preserve">1 günden 5 güne kadar uzanan çıktı zaman ufuklarındaki ayarlamalar ARIMA, LSTM ve 1D-CNN modellerinin doğruluğunu nasıl etkilemektedir?</w:t>
      </w:r>
    </w:p>
    <w:p>
      <w:pPr>
        <w:pStyle w:val="ListParagraph"/>
        <w:numPr>
          <w:ilvl w:val="0"/>
          <w:numId w:val="2"/>
        </w:numPr>
      </w:pPr>
      <w:r>
        <w:rPr>
          <w:rFonts w:ascii="Arial" w:cs="Arial" w:eastAsia="Arial" w:hAnsi="Arial"/>
          <w:sz w:val="24"/>
          <w:szCs w:val="24"/>
        </w:rPr>
        <w:t xml:space="preserve">Tahmin edilen hisse senedi fiyat trendlerinin belirli sektörlere bölünmesi, optimum modelin tahmin kesinliğini nasıl etkilemektedir?</w:t>
      </w:r>
    </w:p>
    <w:p>
      <w:pPr>
        <w:spacing w:after="60" w:before="60"/>
      </w:pPr>
      <w:r>
        <w:t xml:space="preserve"/>
      </w:r>
    </w:p>
    <w:p>
      <w:pPr>
        <w:spacing w:after="100" w:before="100"/>
        <w:jc w:val="both"/>
      </w:pPr>
      <w:r>
        <w:rPr>
          <w:rFonts w:ascii="Arial" w:cs="Arial" w:eastAsia="Arial" w:hAnsi="Arial"/>
          <w:sz w:val="24"/>
          <w:szCs w:val="24"/>
        </w:rPr>
        <w:t xml:space="preserve">Tez; finansal piyasalardaki kısa vadeli fiyat trendlerinin tahmininde LSTM'nin ARIMA ve 1D-CNN modellerini geride bıraktığını ortaya koymaktadır. LSTM'nin kapanış fiyatlarını, tarihsel trendleri ve teknik göstergeleri yakalama konusundaki çok yönlülüğü, onun üstünlüğünü kanıtlamaktadır. Optimum konfigürasyon; yalnızca teknik göstergeler kullanılarak 2 günlük girdi ve 5 günlük çıktı uzunluğu içermekte olup LSTM, finansal trend tahmininde en güvenilir tercih konumundadır. Bu optimum konfigürasyon NASDAQ100 içindeki farklı sektörlere genellenebilmektedir.</w:t>
      </w:r>
    </w:p>
    <w:p>
      <w:r>
        <w:br w:type="page"/>
      </w:r>
    </w:p>
    <w:p>
      <w:pPr>
        <w:pStyle w:val="Heading1"/>
        <w:spacing w:after="200" w:before="400"/>
      </w:pPr>
      <w:r>
        <w:rPr>
          <w:rFonts w:ascii="Arial" w:cs="Arial" w:eastAsia="Arial" w:hAnsi="Arial"/>
          <w:b/>
          <w:bCs/>
          <w:sz w:val="32"/>
          <w:szCs w:val="32"/>
        </w:rPr>
        <w:t xml:space="preserve">2. İlgili Çalışmalar</w:t>
      </w:r>
    </w:p>
    <w:p>
      <w:pPr>
        <w:pStyle w:val="Heading2"/>
        <w:spacing w:after="150" w:before="300"/>
      </w:pPr>
      <w:r>
        <w:rPr>
          <w:rFonts w:ascii="Arial" w:cs="Arial" w:eastAsia="Arial" w:hAnsi="Arial"/>
          <w:b/>
          <w:bCs/>
          <w:sz w:val="28"/>
          <w:szCs w:val="28"/>
        </w:rPr>
        <w:t xml:space="preserve">2.1 LSTM ve Kısa Vadeli Hisse Senedi Tahminleri</w:t>
      </w:r>
    </w:p>
    <w:p>
      <w:pPr>
        <w:spacing w:after="100" w:before="100"/>
        <w:jc w:val="both"/>
      </w:pPr>
      <w:r>
        <w:rPr>
          <w:rFonts w:ascii="Arial" w:cs="Arial" w:eastAsia="Arial" w:hAnsi="Arial"/>
          <w:sz w:val="24"/>
          <w:szCs w:val="24"/>
        </w:rPr>
        <w:t xml:space="preserve">Uzun Kısa Süreli Bellek (LSTM) modelleri, doğrusal olmayan hisse senedi fiyatı hareketlerinin tahmininde umut verici sonuçlar ortaya koymuştur. Namin ve Namin (2018), LSTM'nin ARIMA'yı ortalama RMSE düşüşü bakımından %87,445 oranında geride bıraktığını tespit etmiştir (511,481'den 64,213'e). LSTM'nin sağlamlığı; eğitim döngüsü sayısının performansı üzerinde gözlemlenebilir bir etkisinin bulunmamasıyla açıkça kendini göstermiştir. Balaji ve ark. (2018), BANKEX verisi tahminlerinde LSTM'nin GRU gibi alternatiflere olan üstünlüğünü doğrulamış; LSTM, 1 adımlı ve 4 adımlı tahminlerde %61,38 ile %59,05 arasında değişen bir doğruluk oranı elde etmiştir. Li ve Liao (2017), LSTM'nin günlük hisse senedi fiyatı tahminlerinde gösterdiği kesinliği (%47,3 doğruluk) ortaya koymuştur. Nelson ve ark. (2017), Sao Paulo Borsası hisselerinde 15 dakikalık aralıklı tahminler için %53-55 oranında doğruluk elde etmiştir. Yao ve ark. (2018), LSTM'nin kısa vadeli ticaret stratejileri için kârlı olduğunu saptamıştır. Borovkova ve Tsiamas (2019), gün içi hisse senedi tahmininde doğruluğu artıran LSTM tabanlı bir topluluk yöntemi önermiştir. Chen ve Ge (2019), Dikkat LSTM'nin (AttLSTM) Hongkong hisse senedi hareketlerinin tahmininde geleneksel LSTM'ye kıyasla daha etkili olduğunu vurgulamış ve finansal tahminde derin öğrenme tekniklerinin sürekli geliştirildiğini öne çıkarmıştır. Nabipour ve ark. (2020) tarafından yürütülen bir araştırmada, yalnızca teknik göstergelere dayanan bir LSTM modeliyle hisse senedi piyasası trendleri tahmin edilmiş ve ortalama %84,90 doğruluk oranı elde edilmiştir. Hisseler farklı gruplara ayrılarak sınıflandırılmıştır. Nelson ve ark.'nın (2017) bir diğer çalışması, yalnızca teknik göstergeler kullanan benzer bir LSTM modeliyle bireysel hisselerin piyasa trendlerini tahmin etmeye odaklanmış ve ortalama %54,26 doğruluk oranı elde edilmiştir. Kobiela ve ark.'nın (2022) logaritmize edilmiş NASDAQ verileri üzerinde ARIMA ve LSTM modellerini karşılaştırdığı çalışmada, ARIMA 30 günlük pencerede orta-kısa vadeli tahminlerde LSTM'yi 3,4 kat daha yüksek doğrulukla geride bırakmıştır (MAPE: 1,64 - 5,52). Ancak LSTM, 1 günlük pencerede ARIMA'yı hafif şekilde geride bırakmıştır (MAPE: 1,46 - 1,64). Kobiela ve ark. (2022), LSTM'nin ARIMA'yı geride bırakıp bırakamayacağını belirlemek amacıyla ek özellikler araştırılmasını önermektedir. Dong (2022), Google hisse senedi fiyatları üzerine yürütülen çalışmasında bu bulguları desteklemiş; LSTM, kısa vadeli tahminlerde ARIMA'yı doğruluk bakımından geride bırakmıştır (RMSE: 46,8 - 84,4). Gelecek araştırmalar, doğruluğu artırmak amacıyla ilişkili hisselerin kapanış fiyatlarını dahil etmeyi hedeflemektedir. Bu çalışmalar, LSTM'ye yönelik özellik entegrasyonu ve model geliştirme konusundaki araştırmaların sürdüğünü gözler önüne sermektedir.</w:t>
      </w:r>
    </w:p>
    <w:p>
      <w:pPr>
        <w:spacing w:after="60" w:before="60"/>
      </w:pPr>
      <w:r>
        <w:t xml:space="preserve"/>
      </w:r>
    </w:p>
    <w:p>
      <w:pPr>
        <w:spacing w:after="100" w:before="100"/>
        <w:jc w:val="both"/>
      </w:pPr>
      <w:r>
        <w:rPr>
          <w:rFonts w:ascii="Arial" w:cs="Arial" w:eastAsia="Arial" w:hAnsi="Arial"/>
          <w:sz w:val="24"/>
          <w:szCs w:val="24"/>
        </w:rPr>
        <w:t xml:space="preserve">Vurgulanan çalışmalar, LSTM modellerinin hisse senedi fiyatı zaman serisi doğrusallık-dışılığını ele almadaki etkinliğini ortaya koymakta; özellikle ARIMA ve GRU gibi geleneksel yöntemlere kıyasla üstünlüklerini göstermektedir (Namin ve Namin, 2018; Balaji ve ark., 2018; Borovka ve Tsiamas, 2019; Chen ve Ge, 2019; Kobiela ve ark., 2022; Dong, 2022). Ne var ki bu çalışmalar, tarihsel ve teknik göstergeleri ile zaman ufuklarını ihmal ederek çoğunlukla bütüncül bir bakış açısından yoksun kalmaktadır. Bu tez söz konusu sınırlamayı gidermekte; geliştirilmiş doğruluk için birden fazla zaman ufukları ve tarihsel göstergeleri bünyesine katmaktadır. Literatürün aksine bu tez, ayrı NASDAQ100 sektörlerini analiz ederek tahmin performansı değerlendirmesini güçlendirmekte ve daha güvenilir finansal tahmine ulaşmayı hedeflemektedir. LSTM kısa vadeli hisse senedi tahmininde tanınmış olmakla birlikte, farklı piyasalardaki uygulanabilirliği ve dış faktörlere olan duyarlılığı daha fazla araştırma gerektirmektedir. ANN modellerinin uzun vadeli tahminde başarılı olduğu fakat zaman serisi analizi ve tarihsel kalıpların özümsenmesi için uygun olmaması nedeniyle bu tezde dışlandığı belirtilmelidir. GRU ve AttLSTM'nin kapsam dışı bırakılması, LSTM'nin çağdaş bir kıyaslama ölçütü olarak kabul görmesiyle örtüşmektedir (Sheth ve Shah, 2023; Banerjee ve Garg, 2022). Sonuç olarak, LSTM kısa vadeli hisse senedi trend tahmininde en güncel yöntem olmayı sürdürse de gelecekteki araştırmaların, daha kapsamlı bir değerlendirme için çeşitli finansal senaryolardaki sınırlamalarını, genelleşebilirliğini ve uyum yeteneğini irdelemesi gerekmektedir. Bu unsurların göz önünde bulundurulması, LSTM modellerinin kısa vadeli hisse senedi fiyatı tahminindeki değerlendirmesine daha nüanslı ve dengeli bir boyut katacaktır.</w:t>
      </w:r>
    </w:p>
    <w:p>
      <w:pPr>
        <w:pStyle w:val="Heading2"/>
        <w:spacing w:after="150" w:before="300"/>
      </w:pPr>
      <w:r>
        <w:rPr>
          <w:rFonts w:ascii="Arial" w:cs="Arial" w:eastAsia="Arial" w:hAnsi="Arial"/>
          <w:b/>
          <w:bCs/>
          <w:sz w:val="28"/>
          <w:szCs w:val="28"/>
        </w:rPr>
        <w:t xml:space="preserve">2.2 ARIMA ve Kısa Vadeli Hisse Senedi Tahminleri</w:t>
      </w:r>
    </w:p>
    <w:p>
      <w:pPr>
        <w:spacing w:after="100" w:before="100"/>
        <w:jc w:val="both"/>
      </w:pPr>
      <w:r>
        <w:rPr>
          <w:rFonts w:ascii="Arial" w:cs="Arial" w:eastAsia="Arial" w:hAnsi="Arial"/>
          <w:sz w:val="24"/>
          <w:szCs w:val="24"/>
        </w:rPr>
        <w:t xml:space="preserve">Bu tez, kapsamlı akademik literatüre atıfta bulunarak ARIMA'yı kısa vadeli hisse senedi tahmini için önerilen bir model olarak benimsemektedir. Adewumi ve ark. (2014), borsaların tahmini konusunda ARIMA'nın potansiyelini göstermiş; ancak belirli doğruluk metrikleri sunmamıştır. Caginalp ve Constantine (1995), ARIMA'nın finans alanındaki üstün performansını gözlemlemiştir. Yang ve ark. (2017), Şangay Bileşik Endeksi'nin tahmininde %2,4 hata oranı (RMSE: 77,143) elde etmiştir. Kim ve Sayama (2017), ARIMA ile gösterge kombinasyonlarını araştırarak görece güç kullanımıyla S&amp;P500 tahmin hatasını düşürmüştür (RMSE: 5,018; MSE: 20,27). Khashei ve Hajirahmi (2019), ARIMA'yı doğrusal ve doğrusal olmayan bileşenlerine ayrıştırmış; hibrit ARIMA-YSA modelleri, bağımsız ARIMA'yı hafifçe geride bırakmıştır (YSA için RMSE: 471,09; ARIMA için RMSE: 488,89). Bunun yanı sıra YSA ve ARIMA'nın daha iyi doğruluk için hibrit model olarak birleştirilmesinin potansiyelini de vurgulamışlardır. Dahası Uma Devi ve ark. (2013) tarafından yürütülen bir araştırmada, yalnızca kapanış fiyatı girdi olarak kullanılarak NIFTY-50 fiyatının tahmininde %83,74 doğruluk oranına ulaşılmıştır.</w:t>
      </w:r>
    </w:p>
    <w:p>
      <w:pPr>
        <w:spacing w:after="60" w:before="60"/>
      </w:pPr>
      <w:r>
        <w:t xml:space="preserve"/>
      </w:r>
    </w:p>
    <w:p>
      <w:pPr>
        <w:spacing w:after="100" w:before="100"/>
        <w:jc w:val="both"/>
      </w:pPr>
      <w:r>
        <w:rPr>
          <w:rFonts w:ascii="Arial" w:cs="Arial" w:eastAsia="Arial" w:hAnsi="Arial"/>
          <w:sz w:val="24"/>
          <w:szCs w:val="24"/>
        </w:rPr>
        <w:t xml:space="preserve">Adewumi ve ark. (2014), Caginalp ve Constantine (1995), Yang ve ark. (2017), Kim ve Sayama (2017) ve Khashei ve Hajirahmi (2019)'yi kapsayan vurgulanan çalışmalar, kısa vadeli hisse senedi tahmininde ARIMA modelleri hakkında değerli içgörüler sunmaktadır. Bununla birlikte bu çalışmalar, hisse senedi piyasası dinamiklerine dair anlayışı sınırlayan teknik ve tarihsel göstergelerin kapsamlı bir entegrasyonundan çoğunlukla yoksundur. Piyasa duyarlılığı analizinin yokluğu—etkileyici bir faktör olarak tanınmakla birlikte (Gómez-Martínez ve ark., 2023; Johnson, 2023)—ve çeşitlendirilmiş zaman ufuklarının araştırılmaması kayda değer boşluklar oluşturmaktadır. Buna ek olarak bu çalışmalar, değerlendirmelerinde belirli sektörleri göz önünde bulundurmayı atlayarak ağırlıklı olarak bireysel hisselere ya da geniş endekslere odaklanmaktadır. Khashei ve Hajirahmi (2019), ARIMA'nın yanı sıra YSA'yı da ele alsa da kapsamlı duyarlılık analizi hâlâ göz ardı edilmektedir. Bu araştırma; teknik göstergeleri sistematik biçimde entegre ederek, piyasa duyarlılığını dikkate alarak ve ARIMA modellerinin kısa vadeli hisse senedi tahminindeki öngörü gücünü artırmak amacıyla çeşitlendirilmiş zaman ufuklarını araştırarak söz konusu sınırlamaları gidermeyi hedeflemektedir.</w:t>
      </w:r>
    </w:p>
    <w:p>
      <w:pPr>
        <w:pStyle w:val="Heading2"/>
        <w:spacing w:after="150" w:before="300"/>
      </w:pPr>
      <w:r>
        <w:rPr>
          <w:rFonts w:ascii="Arial" w:cs="Arial" w:eastAsia="Arial" w:hAnsi="Arial"/>
          <w:b/>
          <w:bCs/>
          <w:sz w:val="28"/>
          <w:szCs w:val="28"/>
        </w:rPr>
        <w:t xml:space="preserve">2.3 1D-CNN ve Kısa Vadeli Hisse Senedi Tahminleri</w:t>
      </w:r>
    </w:p>
    <w:p>
      <w:pPr>
        <w:spacing w:after="100" w:before="100"/>
        <w:jc w:val="both"/>
      </w:pPr>
      <w:r>
        <w:rPr>
          <w:rFonts w:ascii="Arial" w:cs="Arial" w:eastAsia="Arial" w:hAnsi="Arial"/>
          <w:sz w:val="24"/>
          <w:szCs w:val="24"/>
        </w:rPr>
        <w:t xml:space="preserve">Hisse senedi tahmininde çoğunlukla göz ardı edilen CNN, Di Persio ve Honchar'a (2016) göre MLP ve RNN modellerini geride bırakarak bir kara at olarak öne çıkmıştır. CNN, %53,6 doğruluk ve 0,2491 MSE değeriyle çok katmanlı algılayıcıyı (MLP) (%52,1) ve tekrarlayan sinir ağını (RNN) (%52,2) hafifçe geride bırakmıştır. Di Persio ve Honchar, özellik ön işlemenin önemini vurgulamış ve CNN, RNN ile W-CNN modellerinin harmanlanmış topluluğunu kullanarak %56,9 doğruluk elde etmiştir. Gunduz ve ark. (2017), Borsa İstanbul'daki 100 hissenin saatlik hareketlerini tahmin etmiştir. Özellik seçimi, lojistik regresyon performansını belirgin biçimde geliştirmemiştir (MA F-Ölçütü oranı: 0,545). Özellik korelasyonlarına odaklanan CNN, her iki durumda da lojistik regresyonu geride bırakmış; CNN-Corr daha yüksek F-Ölçütü oranı olan 0,563'e ulaşmıştır. CNN, kısa vadeli hisse senedi trend tahmini için uygulanabilir bir seçenektir.</w:t>
      </w:r>
    </w:p>
    <w:p>
      <w:pPr>
        <w:spacing w:after="60" w:before="60"/>
      </w:pPr>
      <w:r>
        <w:t xml:space="preserve"/>
      </w:r>
    </w:p>
    <w:p>
      <w:pPr>
        <w:spacing w:after="100" w:before="100"/>
        <w:jc w:val="both"/>
      </w:pPr>
      <w:r>
        <w:rPr>
          <w:rFonts w:ascii="Arial" w:cs="Arial" w:eastAsia="Arial" w:hAnsi="Arial"/>
          <w:sz w:val="24"/>
          <w:szCs w:val="24"/>
        </w:rPr>
        <w:t xml:space="preserve">Ele alınan çalışmalar CNN'nin hisse senedi tahminindeki potansiyelini aydınlatmakta; ancak bu gelişmekte olan alan kayda değer sınırlamalarla karşı karşıyadır. Başta görüntü analizi ve doğal dil işlemede kullanılan CNN'nin hisse senedi tahminindeki uygulamaları görece keşfedilmemiş durumdadır. Di Persio ve Honchar'ın 2016 tarihli çalışması CNN'nin MLP ve RNN modellerini geride bıraktığını gösterse de bulgular, çeşitli özellik girdileri, girdi ve çıktı zaman ufukları genelinde genelleşebilirlik konusunda soru işaretleri barındırmaktadır. Çalışma, özellik ön işlemenin önemini vurgulamaktayken CNN'nin üstün performansına katkıda bulunan özgün özellikler henüz yeterince araştırılmamıştır. CNN umut verici olmakla birlikte hisse senedi fiyatı tahminindeki rolü ve sınırlamalarını nüanslı biçimde değerlendirmek için belirli sürükleyici özellikleri araştırmak, genelleşebilirliği değerlendirmek ve girdi özelliklerini kapsamlı şekilde karşılaştırmak amacıyla daha fazla araştırmaya ihtiyaç duyulmaktadır (Di Persio ve Honchar, 2016). Kısa vadeli hisse senedi tahmininde CNN kullanımına yönelik araştırmalarda farklı girdi/çıktı uzunlukları ve çeşitli sektörlerin dikkate alınmadığını belirtmek gerekir.</w:t>
      </w:r>
    </w:p>
    <w:p>
      <w:pPr>
        <w:pStyle w:val="Heading2"/>
        <w:spacing w:after="150" w:before="300"/>
      </w:pPr>
      <w:r>
        <w:rPr>
          <w:rFonts w:ascii="Arial" w:cs="Arial" w:eastAsia="Arial" w:hAnsi="Arial"/>
          <w:b/>
          <w:bCs/>
          <w:sz w:val="28"/>
          <w:szCs w:val="28"/>
        </w:rPr>
        <w:t xml:space="preserve">2.4 Kısa Vadeli Hisse Senedi Trendlerini Tahmin Etmede Etkenler</w:t>
      </w:r>
    </w:p>
    <w:p>
      <w:pPr>
        <w:spacing w:after="100" w:before="200"/>
      </w:pPr>
      <w:r>
        <w:rPr>
          <w:rFonts w:ascii="Arial" w:cs="Arial" w:eastAsia="Arial" w:hAnsi="Arial"/>
          <w:b/>
          <w:bCs/>
          <w:sz w:val="24"/>
          <w:szCs w:val="24"/>
        </w:rPr>
        <w:t xml:space="preserve">2.4.1 Tarihsel Göstergeler</w:t>
      </w:r>
    </w:p>
    <w:p>
      <w:pPr>
        <w:spacing w:after="100" w:before="100"/>
        <w:jc w:val="both"/>
      </w:pPr>
      <w:r>
        <w:rPr>
          <w:rFonts w:ascii="Arial" w:cs="Arial" w:eastAsia="Arial" w:hAnsi="Arial"/>
          <w:sz w:val="24"/>
          <w:szCs w:val="24"/>
        </w:rPr>
        <w:t xml:space="preserve">Küresel ekonomik faktörleri, merkez bankası kararlarını, emtia fiyatlarını ve piyasa duyarlılığını kapsayan bu tarihsel göstergeler, bu tezdeki hisse senedi trend hareketlerinin anlaşılmasına ve tahmin edilmesine önemli ölçüde katkıda bulunma potansiyeli taşımaktadır. Teknik analiz teknikleri aracılığıyla incelenen tarihsel hisse senedi fiyatları; hareketli ortalamalar, destek ve direnç seviyeleri ile grafik kalıpları gibi tekrarlanan örüntüleri belirleyerek gelecekteki fiyat hareketlerine dair içgörüler sunmaktadır (Rutledge, 1986). Başlıca dünya para birimlerini temsil eden ABD Doları Endeksi, küresel ekonomik duyarlılığındaki değişimleri yansıtmakta ve NASDAQ100'dekiler dahil hisse senedi fiyatlarını etkilemektedir (Bai ve Koong, 2018). Borçlanma maliyetleri, tüketici harcamaları ve yatırımcı tercihleri üzerinde kapsamlı sonuçları olan Fed faiz oranı kararları da hisse senedi fiyatlarını etkilemektedir (Thorbecke, 2012). Bunun yanı sıra sektörler genelinde dalgalanma etkisi yaratan petrol fiyatları, bilinçli yatırım kararları için izlenmesi gereken kritik bir unsurdur (Kang ve ark., 2015). CNN Korku ve Açgözlülük Endeksi ise yatırımcı duyarlılığını ölçmekte ve dolaylı olarak hisse senedi fiyatlarını etkilemektedir (Gómez-Martínez ve ark., 2023; Johnson, 2023). Bu çeşitli tarihsel göstergelerin entegrasyonu, analitik çerçeveyi güçlendirmekte ve hisse senedi trendlerini etkileyen çok yönlü faktörlerin daha kapsamlı anlaşılmasını sağlamaktadır.</w:t>
      </w:r>
    </w:p>
    <w:p>
      <w:pPr>
        <w:spacing w:after="100" w:before="200"/>
      </w:pPr>
      <w:r>
        <w:rPr>
          <w:rFonts w:ascii="Arial" w:cs="Arial" w:eastAsia="Arial" w:hAnsi="Arial"/>
          <w:b/>
          <w:bCs/>
          <w:sz w:val="24"/>
          <w:szCs w:val="24"/>
        </w:rPr>
        <w:t xml:space="preserve">2.4.2 Teknik Göstergeler</w:t>
      </w:r>
    </w:p>
    <w:p>
      <w:pPr>
        <w:spacing w:after="100" w:before="100"/>
        <w:jc w:val="both"/>
      </w:pPr>
      <w:r>
        <w:rPr>
          <w:rFonts w:ascii="Arial" w:cs="Arial" w:eastAsia="Arial" w:hAnsi="Arial"/>
          <w:sz w:val="24"/>
          <w:szCs w:val="24"/>
        </w:rPr>
        <w:t xml:space="preserve">Bu tez; kısa vadeli hisse senedi trend tahmininin kapsamlı biçimde araştırılması için Göreceli Güç Endeksi (RSI), Hareketli Ortalamalar Yakınlaşma/Uzaklaşma (MACD), Ortalama Yönsel Hareket Endeksi (ADX), Yavaş Stokastik Osilatör (SO %K ve %D) ve Üstel Hareketli Ortalamalar (EMA 21 ve 26) gibi temel teknik göstergeleri bünyesine katmaktadır. Piyasa bilgisini ölçülebilir metriklere dönüştürmedeki olası etkinlikleriyle tanınan bu göstergeler, modelin hisse senedi fiyatı hareketlerindeki ince kalıpları saptama yeteneğini güçlendirmektedir. RSI, son fiyat değişimlerinin büyüklüğüne dair içgörüler sunarken MACD, piyasa trendlerindeki olası değişimlere işaret etmektedir. ADX trend gücünü belirtmekte, STO ise kapanış fiyatları hakkında fiyat aralıklarıyla ilgili değerli bilgi sağlamaktadır. Üstel Hareketli Ortalamalar (EMA 21 ve 26), son fiyat verilerine daha fazla ağırlık vererek kısa vadeli dalgalanmalara duyarlılığı artırmaktadır. Bu teknik göstergeler koleksiyonu, modelin öngörü kapasitesini zenginleştirmekte ve piyasa dinamiklerinin çeşitli yönlerini yakalayarak daha sağlam bir kısa vadeli hisse senedi trend tahmin çerçevesi oluşturmaktadır.</w:t>
      </w:r>
    </w:p>
    <w:p>
      <w:pPr>
        <w:spacing w:after="60" w:before="60"/>
      </w:pPr>
      <w:r>
        <w:t xml:space="preserve"/>
      </w:r>
    </w:p>
    <w:p>
      <w:pPr>
        <w:spacing w:after="100" w:before="100"/>
        <w:jc w:val="both"/>
      </w:pPr>
      <w:r>
        <w:rPr>
          <w:rFonts w:ascii="Arial" w:cs="Arial" w:eastAsia="Arial" w:hAnsi="Arial"/>
          <w:sz w:val="24"/>
          <w:szCs w:val="24"/>
        </w:rPr>
        <w:t xml:space="preserve">Teknik göstergelerin kısa vadeli hisse senedi trend tahminindeki önemi, geniş çaplı uygulamaları ve mevcut literatürdeki kanıtlanmış etkinlikleriyle öne çıkmaktadır. Parida ve ark. (2023) hisse senedi trendlerini tahmin etmek için MACD ve RSI'yi kullanmış; Piravechsakul ve ark. (2021) SO %K ve %D, MACD ile RSI'yi entegre ederek bu göstergelerin tahmin modellerini güçlendirmedeki değerini doğrulamıştır. Kaur ve ark. (2022), EMA, MACD, SO %K ve %D ile RSI'yi bünyelerine katarak kısa vadeli trend analizinde bu göstergelerin önemini daha da pekiştirmiştir. Vincent ve ark. (2023) MACD, SO %K ve %D ile RSI'yi kullanmayı genişletmiş ve etkinliklerini desteklemiştir. Liu (2021), EMA ve MACD üzerine yoğunlaşarak bunların süregelen önemini vurgulamıştır. ADX'in ampirik çalışmalarda yeterli temsile sahip olmadığı dikkat çekmektedir; bu durum, ADX'in bu teze ek bir teknik gösterge olarak dahil edilmesini, kısa vadeli hisse senedi trend tahmini alanına özgün katkılar sunmak açısından umut verici kılmaktadır.</w:t>
      </w:r>
    </w:p>
    <w:p>
      <w:r>
        <w:br w:type="page"/>
      </w:r>
    </w:p>
    <w:p>
      <w:pPr>
        <w:pStyle w:val="Heading1"/>
        <w:spacing w:after="200" w:before="400"/>
      </w:pPr>
      <w:r>
        <w:rPr>
          <w:rFonts w:ascii="Arial" w:cs="Arial" w:eastAsia="Arial" w:hAnsi="Arial"/>
          <w:b/>
          <w:bCs/>
          <w:sz w:val="32"/>
          <w:szCs w:val="32"/>
        </w:rPr>
        <w:t xml:space="preserve">3. Metodoloji ve Deneysel Kurulum</w:t>
      </w:r>
    </w:p>
    <w:p>
      <w:pPr>
        <w:pStyle w:val="Heading2"/>
        <w:spacing w:after="150" w:before="300"/>
      </w:pPr>
      <w:r>
        <w:rPr>
          <w:rFonts w:ascii="Arial" w:cs="Arial" w:eastAsia="Arial" w:hAnsi="Arial"/>
          <w:b/>
          <w:bCs/>
          <w:sz w:val="28"/>
          <w:szCs w:val="28"/>
        </w:rPr>
        <w:t xml:space="preserve">3.1 Deneysel Kurulum</w:t>
      </w:r>
    </w:p>
    <w:p>
      <w:pPr>
        <w:spacing w:after="100" w:before="100"/>
        <w:jc w:val="both"/>
      </w:pPr>
      <w:r>
        <w:rPr>
          <w:rFonts w:ascii="Arial" w:cs="Arial" w:eastAsia="Arial" w:hAnsi="Arial"/>
          <w:sz w:val="24"/>
          <w:szCs w:val="24"/>
        </w:rPr>
        <w:t xml:space="preserve">Bu tez, NASDAQ100'ü etkileyen sayısal ve günlük özelliklerden yararlanmaktadır. Önceki bölümde değinildiği üzere bu değişkenler mevcut literatürde tanımlanmış ve bu nedenle tez açısından ilgili kabul edilmiştir. Veri kümesi 1 Ocak 2018'den 30 Aralık 2022'ye kadar uzanan dönemi kapsamakta olup toplam 1.259 işlem günü içermektedir. Analiz için işlem yapılmayan günler veri kümesinden çıkarılmıştır.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Özellik</w:t>
            </w:r>
          </w:p>
        </w:tc>
        <w:tc>
          <w:tcPr>
            <w:tcW w:type="dxa" w:w="312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Açıklama</w:t>
            </w:r>
          </w:p>
        </w:tc>
        <w:tc>
          <w:tcPr>
            <w:tcW w:type="dxa" w:w="312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Kaynak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Açılış Fiyatı</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Bir varlığın gün başındaki fiyatı</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Yahoo Finance, 2023a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Kapanış Fiyatı</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Bir varlığın gün sonundaki fiyatı</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Yahoo Finance, 2023a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İşlem Hacmi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Gün boyunca işlem gören toplam hisse/sözleşme sayısı</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Yahoo Finance, 2023a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ABD Doları Endeksi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ABD dolarının diğer dünya para birimlerine kıyasla değerinin ölçüsü</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Yahoo Finance, 2023b</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Fed Faiz Oranı</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Federal Rezerv tarafından belirlenen faiz oranı</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 Louis FED, 2023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CNN Korku ve Açgözlülük Endeksi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Finansal piyasalardaki yatırımcı duyarlılığını ölçen gösterge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CNN: Business, 2023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Petrol Fiyatı (Ham)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Küresel petrol piyasasındaki arz-talep dinamiklerini yansıtan varil başına değer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Investing.com, 2023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14 Günlük RSI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Fiyat hareketlerinin hız ve değişimini ölçen momentum osilatörü</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NASDAQ 100 kapanış fiyatıyla hesaplanmıştır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MACD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İki hareketli ortalama arasındaki ilişkiyi gösteren trend takip eden momentum göstergesi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NASDAQ 100 kapanış fiyatıyla hesaplanmıştır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Fiyat trendinin gücünü değerlendiren trend gücü göstergesi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NASDAQ 100 kapanış fiyatıyla hesaplanmıştır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SO %K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Fiyat momentumunu ölçen ve aşırı alım/aşırı satım koşullarını belirleyen göstergeler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NASDAQ 100 kapanış fiyatıyla hesaplanmıştır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SO %D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Fiyat momentumunu ölçen ve aşırı alım/aşırı satım koşullarını belirleyen göstergeler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NASDAQ 100 kapanış fiyatıyla hesaplanmıştır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EMA 12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Son fiyatlara daha fazla ağırlık vererek trendlerin belirlenmesine yardımcı olan hareketli ortalamalar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NASDAQ 100 kapanış fiyatıyla hesaplanmıştır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EMA 26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Son fiyatlara daha fazla ağırlık vererek trendlerin belirlenmesine yardımcı olan hareketli ortalamalar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NASDAQ 100 kapanış fiyatıyla hesaplanmıştır</w:t>
            </w:r>
          </w:p>
        </w:tc>
      </w:tr>
    </w:tbl>
    <w:p>
      <w:pPr>
        <w:spacing w:after="80" w:before="80"/>
        <w:jc w:val="center"/>
      </w:pPr>
      <w:r>
        <w:rPr>
          <w:rFonts w:ascii="Arial" w:cs="Arial" w:eastAsia="Arial" w:hAnsi="Arial"/>
          <w:i/>
          <w:iCs/>
          <w:sz w:val="22"/>
          <w:szCs w:val="22"/>
        </w:rPr>
        <w:t xml:space="preserve">Tablo 1: Tüm özellikler, açıklamaları ve kaynakları</w:t>
      </w:r>
    </w:p>
    <w:p>
      <w:pPr>
        <w:spacing w:after="60" w:before="60"/>
      </w:pPr>
      <w:r>
        <w:t xml:space="preserve"/>
      </w:r>
    </w:p>
    <w:p>
      <w:pPr>
        <w:spacing w:after="100" w:before="100"/>
        <w:jc w:val="both"/>
      </w:pPr>
      <w:r>
        <w:rPr>
          <w:rFonts w:ascii="Arial" w:cs="Arial" w:eastAsia="Arial" w:hAnsi="Arial"/>
          <w:sz w:val="24"/>
          <w:szCs w:val="24"/>
        </w:rPr>
        <w:t xml:space="preserve">Teknik göstergelere ilişkin tüm formüller Ek A'da yer almaktadır.</w:t>
      </w:r>
    </w:p>
    <w:p>
      <w:pPr>
        <w:spacing w:after="60" w:before="60"/>
      </w:pPr>
      <w:r>
        <w:t xml:space="preserve"/>
      </w:r>
    </w:p>
    <w:p>
      <w:pPr>
        <w:spacing w:after="100" w:before="100"/>
        <w:jc w:val="both"/>
      </w:pPr>
      <w:r>
        <w:rPr>
          <w:rFonts w:ascii="Arial" w:cs="Arial" w:eastAsia="Arial" w:hAnsi="Arial"/>
          <w:sz w:val="24"/>
          <w:szCs w:val="24"/>
        </w:rPr>
        <w:t xml:space="preserve">Kısa vadeli hisse senedi trendlerinin tahmininde herhangi bir işlev görmeyen işlem yapılmayan günler, veri kümesinden çıkarılmıştır. Çoğu özellik, varlıkların açık piyasada işlem göremediği bu günlerde değişmemektedir. İlk 27 gün, teknik göstergeler için büyük ölçüde boş kaldığından dışarıda bırakılmıştır. Bir fiyat trendinin gücünü değerlendirmesi 27 gün süren ADX, en yüksek sayıda boş değere katkıda bulunmaktadır. Bunun sonucunda veri kümesi fiilen 1.232 işlem gününden oluşmaktadır. Açılış fiyatı, kapanış fiyatı ve işlem hacmi; modellerin performansını ve eğitim sırasındaki yakınsamayı güçlendirmek amacıyla kararlı, tutarlı ve optimize edilmiş bir girdi oluşturmak için Sci-kit MinMaxScaler (Pedregosa ve ark., 2011) kullanılarak ölçeklendirilmiştir.</w:t>
      </w:r>
    </w:p>
    <w:p>
      <w:pPr>
        <w:spacing w:after="60" w:before="60"/>
      </w:pPr>
      <w:r>
        <w:t xml:space="preserve"/>
      </w:r>
    </w:p>
    <w:p>
      <w:pPr>
        <w:spacing w:after="100" w:before="100"/>
        <w:jc w:val="both"/>
      </w:pPr>
      <w:r>
        <w:rPr>
          <w:rFonts w:ascii="Arial" w:cs="Arial" w:eastAsia="Arial" w:hAnsi="Arial"/>
          <w:sz w:val="24"/>
          <w:szCs w:val="24"/>
        </w:rPr>
        <w:t xml:space="preserve">Tez; tarihsel veri ile teknik göstergelerin bir kombinasyonundan yararlanacak ve yalnızca teknik göstergeler kullanan LSTM modeliyle en güncel yaklaşım arasında karşılaştırmalı bir analiz sunacaktır. Ek olarak yalnızca kapanış fiyatını kullanan ikincil ama yaygın tercih edilen bir seçenek olan temel senaryoya kıyasla performansı değerlendirecektir. Veri kümesindeki tarihsel ve teknik göstergelerin tamamı kapanış fiyatıyla güçlü bir korelasyon sergilememekle birlikte bu durum önemli değildir. Mevcut literatür, ele alınan tüm özelliklerin etkinliğini ve etkili niteliğini desteklemekte; bunları analize dahil etmeyi meşrulaştırmaktadır. Aşağıdaki görselde açılış ve kapanış fiyatları arasında tam olarak 1,00 korelasyon katsayısı bulunduğu dikkat çekmektedir. Bu korelasyon, ardışık günler arasındaki doğal bağlantıdan kaynaklanmaktadır: Belirli bir günün—örneğin 1. günün—kapanış fiyatı, bir sonraki günün (2. günün) açılış fiyatıyla örtüşerek bu değişkenler arasında doğrudan bir karşılıklı bağımlılık oluşturmaktadır.</w:t>
      </w:r>
    </w:p>
    <w:p>
      <w:pPr>
        <w:spacing w:after="60" w:before="60"/>
      </w:pPr>
      <w:r>
        <w:t xml:space="preserve"/>
      </w:r>
    </w:p>
    <w:p>
      <w:pPr>
        <w:spacing w:after="100" w:before="100"/>
        <w:jc w:val="both"/>
      </w:pPr>
      <w:r>
        <w:rPr>
          <w:rFonts w:ascii="Arial" w:cs="Arial" w:eastAsia="Arial" w:hAnsi="Arial"/>
          <w:sz w:val="24"/>
          <w:szCs w:val="24"/>
        </w:rPr>
        <w:t xml:space="preserve">Model, tahmin için 2, 4 ve 6 günlük girdi dizilerini kayan pencere yaklaşımıyla kullanmaktadır. Bu uzunluklar; girdiyi çıktıyla yakın hizalayarak korelasyonu en üst düzeye çıkarmak amacıyla seçilmiştir. Kayan pencere, her tahmin için sürekli ve örtüşen tarihsel veri dizisinin dikkate alınmasını sağlayarak dinamik bir bağlam sunmaktadır. Model, 1, 3 ve 5 günlük trendleri tahmin etmekte olup kayan pencere, etkili tahmin için girdi dizilerinin gelişen yapısını yakalamaktadır. Modeller, Hassanpour (2020) tarafından önerilen ve yatırımcılar için akla yatkın bir ölçüt olarak sunulan 'yükseliş trendi' ya da 'düşüş trendi'nden birini tahmin edecektir.</w:t>
      </w:r>
    </w:p>
    <w:p>
      <w:pPr>
        <w:spacing w:after="60" w:before="60"/>
      </w:pPr>
      <w:r>
        <w:t xml:space="preserve"/>
      </w:r>
    </w:p>
    <w:p>
      <w:pPr>
        <w:spacing w:after="100" w:before="100"/>
        <w:jc w:val="both"/>
      </w:pPr>
      <w:r>
        <w:rPr>
          <w:rFonts w:ascii="Arial" w:cs="Arial" w:eastAsia="Arial" w:hAnsi="Arial"/>
          <w:sz w:val="24"/>
          <w:szCs w:val="24"/>
        </w:rPr>
        <w:t xml:space="preserve">En iyi performans gösteren model, doğruluk ölçütüyle belirlenerek NASDAQ100 içindeki çeşitli sektörlere sistematik biçimde uygulanacak ve uyum ile etkinliğinin farklı piyasa dinamiklerinde değerlendirilmesi amaçlanacaktır. Bu sektörel analiz, modelin sağlamlığını ve genelleştirme kapasitesini ortaya çıkarmayı hedeflemekte; daha geniş finansal tahmin amaçlarına yönelik farklı koşullar altındaki etkinliğine dair kapsamlı bir anlayışa katkıda bulunmaktadır. Açılış fiyatı, kapanış fiyatı ve işlem hacmi gibi özellikler sektörler genelinde kullanılacak; teknik göstergeler ise değişen kapanış fiyatlarına göre düzenlenecektir. Çalışma, veri bolluğunu yönetmek amacıyla NASDAQ (2023) tarafından belirlenen her sektörden en az 3 hisse senedinin temsili örneklemine odaklanmaktadır. Her sektörde hangi hisselerin yer aldığına ve bu tezde kullanılacağına ilişkin tam dökümü Ek B'de bulunabilir.</w:t>
      </w:r>
    </w:p>
    <w:p>
      <w:pPr>
        <w:spacing w:after="60" w:before="60"/>
      </w:pPr>
      <w:r>
        <w:t xml:space="preserve"/>
      </w:r>
    </w:p>
    <w:p>
      <w:pPr>
        <w:spacing w:after="100" w:before="100"/>
        <w:jc w:val="both"/>
      </w:pPr>
      <w:r>
        <w:rPr>
          <w:rFonts w:ascii="Arial" w:cs="Arial" w:eastAsia="Arial" w:hAnsi="Arial"/>
          <w:sz w:val="24"/>
          <w:szCs w:val="24"/>
        </w:rPr>
        <w:t xml:space="preserve">Bu tezin pratik sonuçlarını değerlendirmek amacıyla en yüksek ortalama test doğruluğuna sahip model, finansal performansını ölçmek için bir simülasyona tabi tutulacaktır. Simülasyon; modelin tahminlerine dayanılarak NASDAQ100 üzerinde alım ya da satım işlemlerinin gerçekleştirilmesini içermektedir. Her simülasyon, başlangıçtan çıktı dizisi uzunluğuna karşılık gelen sona kadar olan dönemi kapsamakta ve bu süreç, en iyi modelin her girdi-çıktı uzunluğu kombinasyonu için yinelenecektir.</w:t>
      </w:r>
    </w:p>
    <w:p>
      <w:pPr>
        <w:spacing w:after="60" w:before="60"/>
      </w:pPr>
      <w:r>
        <w:t xml:space="preserve"/>
      </w:r>
    </w:p>
    <w:p>
      <w:pPr>
        <w:spacing w:after="100" w:before="100"/>
        <w:jc w:val="both"/>
      </w:pPr>
      <w:r>
        <w:rPr>
          <w:rFonts w:ascii="Arial" w:cs="Arial" w:eastAsia="Arial" w:hAnsi="Arial"/>
          <w:sz w:val="24"/>
          <w:szCs w:val="24"/>
        </w:rPr>
        <w:t xml:space="preserve">Bu tezdeki veriler, sağlam model değerlendirmesi için üç kümeye ayrılmıştır: Tarihsel kalıpları öğrenmek için %70 eğitim kümesi ve hiperparametre ayarlaması için %15 (%15) ve kıyaslama ölçütü olarak %15'lik kısımlara ayrılan %30 birleşik doğrulama-test kümesi. Rastgele tohumlar sonuçların yeniden üretilebilirliğini ve şeffaflığını güvence altına almaktadır. Güvenilirliği artırmak amacıyla her model, farklı rastgele tohumlarla (23, 27 ve 98; RANDOM.ORG, 2023) üç kez çalıştırılmakta ve ortalama test doğruluğu hesaplanmaktadır. Bu yaklaşım, yanlılıkları azaltmayı ve model performansının kapsamlı biçimde değerlendirilmesini sağlamayı amaçlamaktadır. Bunun yanı sıra her model için minimum ve maksimum test doğruluğu değerlerini ilgili konfigürasyonlarıyla birlikte gösteren bir tablo sunulacaktır. Bu yaklaşım, gözlemlenen sonuçların rastgeleleştirme etkilerinden mi kaynaklandığını yoksa farklı tohum değerleri arasında tutarlılık bulunup bulunmadığını incelemeyi kolaylaştırmaktadır.</w:t>
      </w:r>
    </w:p>
    <w:p>
      <w:pPr>
        <w:pStyle w:val="Heading2"/>
        <w:spacing w:after="150" w:before="300"/>
      </w:pPr>
      <w:r>
        <w:rPr>
          <w:rFonts w:ascii="Arial" w:cs="Arial" w:eastAsia="Arial" w:hAnsi="Arial"/>
          <w:b/>
          <w:bCs/>
          <w:sz w:val="28"/>
          <w:szCs w:val="28"/>
        </w:rPr>
        <w:t xml:space="preserve">3.2 LSTM</w:t>
      </w:r>
    </w:p>
    <w:p>
      <w:pPr>
        <w:spacing w:after="100" w:before="100"/>
        <w:jc w:val="both"/>
      </w:pPr>
      <w:r>
        <w:rPr>
          <w:rFonts w:ascii="Arial" w:cs="Arial" w:eastAsia="Arial" w:hAnsi="Arial"/>
          <w:sz w:val="24"/>
          <w:szCs w:val="24"/>
        </w:rPr>
        <w:t xml:space="preserve">Uzun Kısa Süreli Bellek (LSTM), etkili zaman serisi tahmini için tasarlanmış özel bir tekrarlayan sinir ağı (RNN) türüdür. LSTM'nin bu uygulaması finans alanına ve daha özelinde kısa vadeli hisse senedi tahminine kadar uzanmaktadır (Namin ve Namin, 2018; Balaji ve ark., 2018; Li ve Lao, 2017; Yao ve ark., 2018; Nelson ve ark., 2017; Borovka ve Tsiamas, 2019; Chen ve Ge, 2019; Kobiela ve ark., 2022; Dong, 2022).</w:t>
      </w:r>
    </w:p>
    <w:p>
      <w:pPr>
        <w:spacing w:after="60" w:before="60"/>
      </w:pPr>
      <w:r>
        <w:t xml:space="preserve"/>
      </w:r>
    </w:p>
    <w:p>
      <w:pPr>
        <w:spacing w:after="100" w:before="100"/>
        <w:jc w:val="both"/>
      </w:pPr>
      <w:r>
        <w:rPr>
          <w:rFonts w:ascii="Arial" w:cs="Arial" w:eastAsia="Arial" w:hAnsi="Arial"/>
          <w:sz w:val="24"/>
          <w:szCs w:val="24"/>
        </w:rPr>
        <w:t xml:space="preserve">LSTM model mimarisi Keras Sequential API (Chollet F. ve ark., 2023) kullanılarak tanımlanmıştır. Model, değişken uzunluktaki girdi dizilerini kabul edecek şekilde yapılandırılmış 64 birimli tek bir LSTM katmanından oluşmaktadır. LSTM katmanı için etkinleştirme işlevi 'relu' olarak ayarlanmış ve aşırı öğrenmeyi önlemek amacıyla bir bırakma oranı (dropout rate) eklenmiştir. Sigmoid etkinleştirme işlevine sahip yoğun bir katman, finansal trend tahmin görevinin ikili yapısını yansıtacak biçimde çıktı katmanı olarak hizmet vermektedir.</w:t>
      </w:r>
    </w:p>
    <w:p>
      <w:pPr>
        <w:spacing w:after="60" w:before="60"/>
      </w:pPr>
      <w:r>
        <w:t xml:space="preserve"/>
      </w:r>
    </w:p>
    <w:p>
      <w:pPr>
        <w:spacing w:after="100" w:before="100"/>
        <w:jc w:val="both"/>
      </w:pPr>
      <w:r>
        <w:rPr>
          <w:rFonts w:ascii="Arial" w:cs="Arial" w:eastAsia="Arial" w:hAnsi="Arial"/>
          <w:sz w:val="24"/>
          <w:szCs w:val="24"/>
        </w:rPr>
        <w:t xml:space="preserve">LSTM modelinin performansını artırmak amacıyla sistematik bir hiperparametre ayarlama yaklaşımı uygulanmıştır. Model, kapsamlı bir ızgara arama stratejisi aracılığıyla farklı girdi dizisi uzunlukları (2, 4 ve 6) için eğitim ve doğrulama süreçlerinden geçirilmiştir. İncelenen temel hiperparametreler şunlardır: optimize edici seçimi ('adam' veya 'sgd'), etkinleştirme işlevi ('relu' veya 'tanh') ve bırakma oranı (0,0; 0,2 veya 0,4). Izgara arama, üç katlı çapraz doğrulama kurulumunu kullanan scikit-learn'ün GridSearchCV'si (Pedregosa ve ark., 2011) aracılığıyla uygulanmıştır. En yüksek doğrulama doğruluğuyla belirlenen en iyi performanslı model, test kümesindeki tahminler için seçilmiştir.</w:t>
      </w:r>
    </w:p>
    <w:p>
      <w:pPr>
        <w:spacing w:after="60" w:before="60"/>
      </w:pPr>
      <w:r>
        <w:t xml:space="preserve"/>
      </w:r>
    </w:p>
    <w:p>
      <w:pPr>
        <w:spacing w:after="100" w:before="100"/>
        <w:jc w:val="both"/>
      </w:pPr>
      <w:r>
        <w:rPr>
          <w:rFonts w:ascii="Arial" w:cs="Arial" w:eastAsia="Arial" w:hAnsi="Arial"/>
          <w:sz w:val="24"/>
          <w:szCs w:val="24"/>
        </w:rPr>
        <w:t xml:space="preserve">Veri kümesi; modelin genelleme kapasitesinin sağlam biçimde değerlendirilebilmesi için eğitim (%70), doğrulama (%15) ve test (%15) kümelerine ayrılmıştır. Bu bölümleme, modeli verilerin önemli bir bölümünde eğiterek, performansını ayrı bir kümede doğrulayarak ve nihayetinde bağımsız bir veri kümesinde test ederek aşırı öğrenmeyi önlemeye yardımcı olmaktadır. Çeşitli girdi dizisi uzunlukları ve hiperparametre kombinasyonları; titiz eğitim-doğrulama-test bölümlemesiyle bir arada modelin sağlamlığını ve önceden görülmemiş yeni verilere iyi genelleştirme yeteneğini güçlendirerek etkili dışsal tahminler yapılmasını desteklemektedir.</w:t>
      </w:r>
    </w:p>
    <w:p>
      <w:pPr>
        <w:spacing w:after="60" w:before="60"/>
      </w:pPr>
      <w:r>
        <w:t xml:space="preserve"/>
      </w:r>
    </w:p>
    <w:p>
      <w:pPr>
        <w:spacing w:after="100" w:before="100"/>
        <w:jc w:val="both"/>
      </w:pPr>
      <w:r>
        <w:rPr>
          <w:rFonts w:ascii="Arial" w:cs="Arial" w:eastAsia="Arial" w:hAnsi="Arial"/>
          <w:sz w:val="24"/>
          <w:szCs w:val="24"/>
        </w:rPr>
        <w:t xml:space="preserve">Kısa vadeli hisse senedi tahmini için seçilen LSTM metodolojisi, sağlam model karşılaştırması ve genelleme değerlendirmesini güvence altına almaktadır. Mimari, 64 birimlik tek bir katmanı kapsamakta; hiperparametre ayarlaması ise üç katlı çapraz doğrulama ile ızgara araması aracılığıyla temel parametreleri sistematik biçimde araştırmaktadır. Veri kümesi; aşırı öğrenmeyi önlemek amacıyla stratejik olarak eğitim (%70), doğrulama (%15) ve test (%15) kümelerine ayrılmıştır. Çeşitli dizi uzunlukları ve titiz veri kümesi bölümlemesini kapsayan bu özenli yaklaşım, LSTM modelinin sağlamlığını ve önceden görülmemiş verilere yönelik genelleme kapasitesini güçlendirmektedir.</w:t>
      </w:r>
    </w:p>
    <w:p>
      <w:pPr>
        <w:pStyle w:val="Heading2"/>
        <w:spacing w:after="150" w:before="300"/>
      </w:pPr>
      <w:r>
        <w:rPr>
          <w:rFonts w:ascii="Arial" w:cs="Arial" w:eastAsia="Arial" w:hAnsi="Arial"/>
          <w:b/>
          <w:bCs/>
          <w:sz w:val="28"/>
          <w:szCs w:val="28"/>
        </w:rPr>
        <w:t xml:space="preserve">3.3 ARIMA</w:t>
      </w:r>
    </w:p>
    <w:p>
      <w:pPr>
        <w:spacing w:after="100" w:before="100"/>
        <w:jc w:val="both"/>
      </w:pPr>
      <w:r>
        <w:rPr>
          <w:rFonts w:ascii="Arial" w:cs="Arial" w:eastAsia="Arial" w:hAnsi="Arial"/>
          <w:sz w:val="24"/>
          <w:szCs w:val="24"/>
        </w:rPr>
        <w:t xml:space="preserve">ARIMA modeli; zaman serisi tahmininde ve finans alanındaki zaman serisi tahminlerinde kullanılmaktadır. ARIMA kısa vadeli hisse senedi tahminine uygulanabilmektedir (Adewumi ve ark., 2014; Caginalp ve Constantine, 1995; Yang ve ark., 2017; Kim ve Sayama, 2017; Khashei ve Hajirahmi, 2019). ARIMA bir zaman serisi tahmin yöntemidir. Otoregresyon (AR), fark alma (I) ve hareketli ortalamalar (MA) yöntemlerini bir araya getirerek geçmiş kalıplarına dayalı bir zaman serisinin gelecekteki değerlerini modellemek ve tahmin etmek için kullanılır.</w:t>
      </w:r>
    </w:p>
    <w:p>
      <w:pPr>
        <w:spacing w:after="60" w:before="60"/>
      </w:pPr>
      <w:r>
        <w:t xml:space="preserve"/>
      </w:r>
    </w:p>
    <w:p>
      <w:pPr>
        <w:spacing w:after="100" w:before="100"/>
        <w:jc w:val="both"/>
      </w:pPr>
      <w:r>
        <w:rPr>
          <w:rFonts w:ascii="Arial" w:cs="Arial" w:eastAsia="Arial" w:hAnsi="Arial"/>
          <w:sz w:val="24"/>
          <w:szCs w:val="24"/>
        </w:rPr>
        <w:t xml:space="preserve">Modelin parametrelerini—özgül olarak otoregresif sıra (p), fark alma sırası (d) ve hareketli ortalama sırası (q)—optimize etmek amacıyla doğrulama kümesi üzerinde bir hiperparametre ayarlama süreci uygulanmıştır. p ve q değerleri girdi uzunluğuna ayarlanmış; d için 5 aralığındaki her sayı incelenmiştir. Girdi ve çıktı uzunluğu başına en iyi ayarlanan ARIMA modeli, ardından birleştirilmiş eğitim ve doğrulama kümelerinde eğitilmiştir. Doğrulama ve test kümeleri için tahminler üretilmiş, model performansı ise sınıflandırma doğruluğuyla değerlendirilmiştir.</w:t>
      </w:r>
    </w:p>
    <w:p>
      <w:pPr>
        <w:spacing w:after="60" w:before="60"/>
      </w:pPr>
      <w:r>
        <w:t xml:space="preserve"/>
      </w:r>
    </w:p>
    <w:p>
      <w:pPr>
        <w:spacing w:after="100" w:before="100"/>
        <w:jc w:val="both"/>
      </w:pPr>
      <w:r>
        <w:rPr>
          <w:rFonts w:ascii="Arial" w:cs="Arial" w:eastAsia="Arial" w:hAnsi="Arial"/>
          <w:sz w:val="24"/>
          <w:szCs w:val="24"/>
        </w:rPr>
        <w:t xml:space="preserve">Kısa vadeli hisse senedi tahminine uygulanan ARIMA modeli, model karşılaştırması ve genellemede etkinlik ile sağlamlık sergilemektedir. Doğrulama kümesindeki hiperparametre ayarlaması otoregresif, fark alma ve hareketli ortalama sıralarını optimize ederken birleştirilmiş kümede eğitim uyum yeteneğini artırmaktadır. Sınıflandırma doğruluğuna odaklanan değerlendirme nicel içgörüler sunmaktadır. Tahminlerin titiz değerlendirmesi; farklı tohumlar kullanılarak p-değerinin hesaplanmasını ve sonuçların ortalamasının alınmasını içererek ARIMA'nın kalıpları yakalama güvenilirliğini ve kısa vadeli hisse senedi tahmin senaryolarındaki genelleme kapasitesini doğrulamaktadır.</w:t>
      </w:r>
    </w:p>
    <w:p>
      <w:pPr>
        <w:pStyle w:val="Heading2"/>
        <w:spacing w:after="150" w:before="300"/>
      </w:pPr>
      <w:r>
        <w:rPr>
          <w:rFonts w:ascii="Arial" w:cs="Arial" w:eastAsia="Arial" w:hAnsi="Arial"/>
          <w:b/>
          <w:bCs/>
          <w:sz w:val="28"/>
          <w:szCs w:val="28"/>
        </w:rPr>
        <w:t xml:space="preserve">3.4 1D-CNN</w:t>
      </w:r>
    </w:p>
    <w:p>
      <w:pPr>
        <w:spacing w:after="100" w:before="100"/>
        <w:jc w:val="both"/>
      </w:pPr>
      <w:r>
        <w:rPr>
          <w:rFonts w:ascii="Arial" w:cs="Arial" w:eastAsia="Arial" w:hAnsi="Arial"/>
          <w:sz w:val="24"/>
          <w:szCs w:val="24"/>
        </w:rPr>
        <w:t xml:space="preserve">CNN, kısa vadeli hisse senedi trendlerini tahmin edebilmekte ve bu nedenle bu tezde bir model olarak seçilmiştir (Di Persio ve Honchar, 2016; Gunduz ve ark., 2017). 1D-CNN modeli, her biri farklı filtre boyutuyla ilişkilendirilmiş üç ardışık Conv1D katmanından oluşturulmuştur. Bu mimari tercih, finansal verilerin zamansal dizileri içindeki hiyerarşik kalıpları yakalamada kritik öneme sahip olup modelin nüanslı trendleri saptama kapasitesine katkıda bulunmaktadır.</w:t>
      </w:r>
    </w:p>
    <w:p>
      <w:pPr>
        <w:spacing w:after="60" w:before="60"/>
      </w:pPr>
      <w:r>
        <w:t xml:space="preserve"/>
      </w:r>
    </w:p>
    <w:p>
      <w:pPr>
        <w:spacing w:after="100" w:before="100"/>
        <w:jc w:val="both"/>
      </w:pPr>
      <w:r>
        <w:rPr>
          <w:rFonts w:ascii="Arial" w:cs="Arial" w:eastAsia="Arial" w:hAnsi="Arial"/>
          <w:sz w:val="24"/>
          <w:szCs w:val="24"/>
        </w:rPr>
        <w:t xml:space="preserve">32 birimli ilk filtre düşük düzeyli kalıpları yakalarken ardından gelen filtreler (64 ve 128 birim) giderek daha karmaşık özellikleri çıkarmaktadır. Bu hiyerarşik evrişimsel mimari, farklı incelik düzeylerindeki kalıpları ayırt ederek modelin zamansal diziler içindeki yerel ve küresel bağımlılıkları saptamasına olanak tanımaktadır. CNN modeli verimli şekilde çalıştığından maksimum havuzlama işlemi (maxpooling) atlanmış; bu sayede makul bir yürütme süresi sağlanmıştır.</w:t>
      </w:r>
    </w:p>
    <w:p>
      <w:pPr>
        <w:spacing w:after="60" w:before="60"/>
      </w:pPr>
      <w:r>
        <w:t xml:space="preserve"/>
      </w:r>
    </w:p>
    <w:p>
      <w:pPr>
        <w:spacing w:after="100" w:before="100"/>
        <w:jc w:val="both"/>
      </w:pPr>
      <w:r>
        <w:rPr>
          <w:rFonts w:ascii="Arial" w:cs="Arial" w:eastAsia="Arial" w:hAnsi="Arial"/>
          <w:sz w:val="24"/>
          <w:szCs w:val="24"/>
        </w:rPr>
        <w:t xml:space="preserve">CNN, farklı zamansal ufuklar (1 gün, 3 gün ve 5 gün) genelinde ikili trendleri saptamak amacıyla kullanılmaktadır. Özellik vektörleri standartlaştırılmakta; değişken girdi günü konfigürasyonlarıyla (2, 4 ve 6) bir CNN modeli oluşturulmaktadır. Her iki unsur da sağlam bir dışsal model değerlendirmesine katkıda bulunmaktadır.</w:t>
      </w:r>
    </w:p>
    <w:p>
      <w:pPr>
        <w:spacing w:after="60" w:before="60"/>
      </w:pPr>
      <w:r>
        <w:t xml:space="preserve"/>
      </w:r>
    </w:p>
    <w:p>
      <w:pPr>
        <w:spacing w:after="100" w:before="100"/>
        <w:jc w:val="both"/>
      </w:pPr>
      <w:r>
        <w:rPr>
          <w:rFonts w:ascii="Arial" w:cs="Arial" w:eastAsia="Arial" w:hAnsi="Arial"/>
          <w:sz w:val="24"/>
          <w:szCs w:val="24"/>
        </w:rPr>
        <w:t xml:space="preserve">Tez; kapsamlı hiperparametre ayarlaması için GridSearchCV'den (Pedregosa ve ark., 2011) yararlanmaktadır. İncelenen hiperparametreler şunlardır:</w:t>
      </w:r>
    </w:p>
    <w:p>
      <w:pPr>
        <w:pStyle w:val="ListParagraph"/>
        <w:numPr>
          <w:ilvl w:val="0"/>
          <w:numId w:val="2"/>
        </w:numPr>
      </w:pPr>
      <w:r>
        <w:rPr>
          <w:rFonts w:ascii="Arial" w:cs="Arial" w:eastAsia="Arial" w:hAnsi="Arial"/>
          <w:sz w:val="24"/>
          <w:szCs w:val="24"/>
        </w:rPr>
        <w:t xml:space="preserve">Bırakma oranı: [0,2; 0,3; 0,4]</w:t>
      </w:r>
    </w:p>
    <w:p>
      <w:pPr>
        <w:pStyle w:val="ListParagraph"/>
        <w:numPr>
          <w:ilvl w:val="0"/>
          <w:numId w:val="2"/>
        </w:numPr>
      </w:pPr>
      <w:r>
        <w:rPr>
          <w:rFonts w:ascii="Arial" w:cs="Arial" w:eastAsia="Arial" w:hAnsi="Arial"/>
          <w:sz w:val="24"/>
          <w:szCs w:val="24"/>
        </w:rPr>
        <w:t xml:space="preserve">Filtre konfigürasyonları: [[32, 64, 128], [64, 128, 256], [32, 64, 128, 256]]</w:t>
      </w:r>
    </w:p>
    <w:p>
      <w:pPr>
        <w:pStyle w:val="ListParagraph"/>
        <w:numPr>
          <w:ilvl w:val="0"/>
          <w:numId w:val="2"/>
        </w:numPr>
      </w:pPr>
      <w:r>
        <w:rPr>
          <w:rFonts w:ascii="Arial" w:cs="Arial" w:eastAsia="Arial" w:hAnsi="Arial"/>
          <w:sz w:val="24"/>
          <w:szCs w:val="24"/>
        </w:rPr>
        <w:t xml:space="preserve">Çekirdek boyutu: [3, 5]</w:t>
      </w:r>
    </w:p>
    <w:p>
      <w:pPr>
        <w:pStyle w:val="ListParagraph"/>
        <w:numPr>
          <w:ilvl w:val="0"/>
          <w:numId w:val="2"/>
        </w:numPr>
      </w:pPr>
      <w:r>
        <w:rPr>
          <w:rFonts w:ascii="Arial" w:cs="Arial" w:eastAsia="Arial" w:hAnsi="Arial"/>
          <w:sz w:val="24"/>
          <w:szCs w:val="24"/>
        </w:rPr>
        <w:t xml:space="preserve">Yoğun katman birimleri: [64, 128, 256]</w:t>
      </w:r>
    </w:p>
    <w:p>
      <w:pPr>
        <w:spacing w:after="60" w:before="60"/>
      </w:pPr>
      <w:r>
        <w:t xml:space="preserve"/>
      </w:r>
    </w:p>
    <w:p>
      <w:pPr>
        <w:spacing w:after="100" w:before="100"/>
        <w:jc w:val="both"/>
      </w:pPr>
      <w:r>
        <w:rPr>
          <w:rFonts w:ascii="Arial" w:cs="Arial" w:eastAsia="Arial" w:hAnsi="Arial"/>
          <w:sz w:val="24"/>
          <w:szCs w:val="24"/>
        </w:rPr>
        <w:t xml:space="preserve">Doğrulama kümesinde çapraz doğrulamalı performans değerlendirmesiyle belirlenen optimum hiperparametreler, ardından doğrulama ve test kümelerinde değerlendirilen optimize edilmiş bir CNN modelinin oluşturulmasına rehberlik etmektedir.</w:t>
      </w:r>
    </w:p>
    <w:p>
      <w:pPr>
        <w:spacing w:after="60" w:before="60"/>
      </w:pPr>
      <w:r>
        <w:t xml:space="preserve"/>
      </w:r>
    </w:p>
    <w:p>
      <w:pPr>
        <w:spacing w:after="100" w:before="100"/>
        <w:jc w:val="both"/>
      </w:pPr>
      <w:r>
        <w:rPr>
          <w:rFonts w:ascii="Arial" w:cs="Arial" w:eastAsia="Arial" w:hAnsi="Arial"/>
          <w:sz w:val="24"/>
          <w:szCs w:val="24"/>
        </w:rPr>
        <w:t xml:space="preserve">Kısa vadeli hisse senedi trend tahminine yönelik 1D-CNN yöntemi, sağlam model karşılaştırması ve eğitim verilerinin ötesinde kapsamlı değerlendirme sağlamaktadır. Değişken filtre boyutlarına sahip üç Conv1D katmanının kullanılması hiyerarşik kalıpları yakalamakta ve nüanslı trend tespitine olanak tanımaktadır. Tabakalı veri bölümlemesi (%70/%15/%15) ve zamansal ufukların dikkate alınması (1 gün, 3 gün ve 5 gün) kapsamlı dışsal model değerlendirmesine katkıda bulunmaktadır. GridSearchCV ile hiperparametre ayarlaması; bırakma oranı, filtre konfigürasyonları, çekirdek boyutu ve yoğun katman birimleri için performansı optimize etmektedir. Günlük doğruluk hesabı, modelin sağlamlığının ve yeni, önceden görülmemiş verilere yönelik etkili genellemesinin nüanslı biçimde anlaşılmasını sağlamaktadır.</w:t>
      </w:r>
    </w:p>
    <w:p>
      <w:pPr>
        <w:pStyle w:val="Heading2"/>
        <w:spacing w:after="150" w:before="300"/>
      </w:pPr>
      <w:r>
        <w:rPr>
          <w:rFonts w:ascii="Arial" w:cs="Arial" w:eastAsia="Arial" w:hAnsi="Arial"/>
          <w:b/>
          <w:bCs/>
          <w:sz w:val="28"/>
          <w:szCs w:val="28"/>
        </w:rPr>
        <w:t xml:space="preserve">3.5 Değerlendirme ve Uygulama</w:t>
      </w:r>
    </w:p>
    <w:p>
      <w:pPr>
        <w:spacing w:after="100" w:before="100"/>
        <w:jc w:val="both"/>
      </w:pPr>
      <w:r>
        <w:rPr>
          <w:rFonts w:ascii="Arial" w:cs="Arial" w:eastAsia="Arial" w:hAnsi="Arial"/>
          <w:sz w:val="24"/>
          <w:szCs w:val="24"/>
        </w:rPr>
        <w:t xml:space="preserve">Tez; görevlere özel çeşitli metrikleri kapsayan kapsamlı bir değerlendirme çerçevesi benimsemektedir. Diğer çalışmalarla örtüşen temel bir metrik olan sınıflandırma doğruluğu, doğru tahmin edilen örneklerin oranını ölçmektedir. Bazı çalışmalar hisse senedi fiyatı tahmini için RMSE ve MSE kullanmakla birlikte bunların uygulanması, küçük bir girdi penceresi boyutunun yanlış tahminlere yol açabileceği bu çalışmanın kapsamı dışında kalmaktadır. Kesinlik, duyarlılık ve F1 puanının eklenmesi doğruluğu tamamlamakta; model performansının nüanslı biçimde anlaşılmasını sağlamakta ve farklı alanlar genelinde güçlü yönleri ile sınırlamaları yakalamaktadır. Bunun yanı sıra tez; kapsamlı bir model karşılaştırması için makine öğrenmesi modellerini özenli biçimde bir temel değerle karşılaştırmaktadır.</w:t>
      </w:r>
    </w:p>
    <w:p>
      <w:pPr>
        <w:spacing w:after="60" w:before="60"/>
      </w:pPr>
      <w:r>
        <w:t xml:space="preserve"/>
      </w:r>
    </w:p>
    <w:p>
      <w:pPr>
        <w:spacing w:after="100" w:before="100"/>
        <w:jc w:val="both"/>
      </w:pPr>
      <w:r>
        <w:rPr>
          <w:rFonts w:ascii="Arial" w:cs="Arial" w:eastAsia="Arial" w:hAnsi="Arial"/>
          <w:sz w:val="24"/>
          <w:szCs w:val="24"/>
        </w:rPr>
        <w:t xml:space="preserve">Temel model, yalnızca teknik göstergeler kullanan bir LSTM modelini temsil eden mevcut en gelişmiş yöntemi oluşturmaktadır. En gelişmiş yönteme yakın alternatif bir yaklaşım ise bir özellik olarak yalnızca kapanış fiyatını kullanan LSTM tahminidir; bu da temel değer olarak ele alınmaktadır. Ek olarak tahminler, bir sonraki dönemi tahmin etmek için önceki dönemin 'yükseliş trendi'ni veya 'düşüş trendi'ni kullanan basit bir 'naif' ya da 'gecikmeli' modelle karşılaştırılarak minimalist bir temel değer oluşturulmaktadır. Bu tezde belirlenen lider model; genellenebilirliğini farklı sektörlerde belirlemek amacıyla NASDAQ100 içindeki çeşitli sektörleri değerlendirecektir. Son olarak en yüksek ortalama doğruluğa sahip model, yatırımcılar için potansiyel kayıplara yol açabilecek piyasanın doğal yükseliş ve düşüşlerini de göz önünde bulundurarak pratik uygulamaya ilişkin içgörüler sunan bir ticaret simülasyonunda kullanılacaktır.</w:t>
      </w:r>
    </w:p>
    <w:p>
      <w:pPr>
        <w:spacing w:after="60" w:before="60"/>
      </w:pPr>
      <w:r>
        <w:t xml:space="preserve"/>
      </w:r>
    </w:p>
    <w:p>
      <w:pPr>
        <w:spacing w:after="100" w:before="100"/>
        <w:jc w:val="both"/>
      </w:pPr>
      <w:r>
        <w:rPr>
          <w:rFonts w:ascii="Arial" w:cs="Arial" w:eastAsia="Arial" w:hAnsi="Arial"/>
          <w:sz w:val="24"/>
          <w:szCs w:val="24"/>
        </w:rPr>
        <w:t xml:space="preserve">JupyterLab ortamında Python3 ile geliştirilen tez, veri bilimi ve makine öğrenmesi için Python'ın çok yönlülüğünden yararlanmaktadır. TensorFlow (v2.14.0), derin öğrenmeye odaklanarak sinir ağı modellerinin oluşturulmasında ve eğitilmesinde kullanılan temel kütüphanedir (Abadi ve ark., 2015). Diğer temel kütüphaneler şunlardır: makine öğrenmesi algoritmaları için scikit-learn (v1.3.2) (Pedregosa ve ark., 2011), zaman serisi analizi için statsmodels (v0.14.0) (Seabold ve Perktold, 2010) ve veri görselleştirme için seaborn/matplotlib (v0.12.0/v3.8.2) (Hunter, 2007; Waskom, 2021). Bu kapsamlı yaklaşım, derin öğrenmeyi geleneksel istatistiksel yöntemlerle bir araya getirerek sağlam bir analitik çerçeve oluşturmaktadır.</w:t>
      </w:r>
    </w:p>
    <w:p>
      <w:r>
        <w:br w:type="page"/>
      </w:r>
    </w:p>
    <w:p>
      <w:pPr>
        <w:pStyle w:val="Heading1"/>
        <w:spacing w:after="200" w:before="400"/>
      </w:pPr>
      <w:r>
        <w:rPr>
          <w:rFonts w:ascii="Arial" w:cs="Arial" w:eastAsia="Arial" w:hAnsi="Arial"/>
          <w:b/>
          <w:bCs/>
          <w:sz w:val="32"/>
          <w:szCs w:val="32"/>
        </w:rPr>
        <w:t xml:space="preserve">4. Bulgular</w:t>
      </w:r>
    </w:p>
    <w:p>
      <w:pPr>
        <w:spacing w:after="100" w:before="100"/>
        <w:jc w:val="both"/>
      </w:pPr>
      <w:r>
        <w:rPr>
          <w:rFonts w:ascii="Arial" w:cs="Arial" w:eastAsia="Arial" w:hAnsi="Arial"/>
          <w:sz w:val="24"/>
          <w:szCs w:val="24"/>
        </w:rPr>
        <w:t xml:space="preserve">Bulgular, tüm girdi ve çıktı uzunlukları için test doğruluklarını sergilemektedir. Model başına optimum hiperparametreler Ek C'de bulunabilir. Alan kısıtlamaları nedeniyle yalnızca ARIMA, LSTM ve CNN için optimum konfigürasyon karışıklık matrisleri gösterilmektedir; diğerleri Ek D'dedir. F1 puanının Ek E'de raporlandığını ancak analiz edilmediğini belirtmek gerekir. Hisse senedi tahmininde kârlılık ön planda tutulmakta; doğruluk kesinlik ve duyarlılık dengesi üzerinden öncelik kazanmakta ve bu nedenle F1 puanı ticari başarı açısından daha az ilgili kalmaktadır. Tüm test doğrulukları, yöntemde açıklanan üç tohumun ortalama doğruluğunu temsil etmektedir. Tam sonuçlar Ek E'de mevcuttur.</w:t>
      </w:r>
    </w:p>
    <w:p>
      <w:pPr>
        <w:pStyle w:val="Heading2"/>
        <w:spacing w:after="150" w:before="300"/>
      </w:pPr>
      <w:r>
        <w:rPr>
          <w:rFonts w:ascii="Arial" w:cs="Arial" w:eastAsia="Arial" w:hAnsi="Arial"/>
          <w:b/>
          <w:bCs/>
          <w:sz w:val="28"/>
          <w:szCs w:val="28"/>
        </w:rPr>
        <w:t xml:space="preserve">4.1 LSTM</w:t>
      </w:r>
    </w:p>
    <w:p>
      <w:pPr>
        <w:spacing w:after="100" w:before="100"/>
        <w:jc w:val="both"/>
      </w:pPr>
      <w:r>
        <w:rPr>
          <w:rFonts w:ascii="Arial" w:cs="Arial" w:eastAsia="Arial" w:hAnsi="Arial"/>
          <w:sz w:val="24"/>
          <w:szCs w:val="24"/>
        </w:rPr>
        <w:t xml:space="preserve">LSTM modelinin tarihsel ve teknik göstergelerle performansı %47,03 ile %61,08 arasında değişmektedir. Ancak özellikle 5 günlük senaryolarda daha uzun çıktı uzunlukları için doğrulukta belirgin bir artış olduğunu vurgulamak gerekmektedir. Ortalama %54,76 olan test doğruluğu, modelin anlamlı kalıpları yakaladığına işaret etmekle birlikte kısaltılmış tahmin ufuklarında doğruluğun sürdürülmesinde güçlükler yaşandığını da göstermektedir. Daha uzun çıktı uzunlukları için performansın iyileştirilmesine ya da alternatif model mimarilerinin araştırılmasına yönelik daha ileri inceleme düşünülebilir.</w:t>
      </w:r>
    </w:p>
    <w:p>
      <w:pPr>
        <w:spacing w:after="60" w:before="60"/>
      </w:pPr>
      <w:r>
        <w:t xml:space="preserve"/>
      </w:r>
    </w:p>
    <w:p>
      <w:pPr>
        <w:spacing w:after="100" w:before="100"/>
        <w:jc w:val="both"/>
      </w:pPr>
      <w:r>
        <w:rPr>
          <w:rFonts w:ascii="Arial" w:cs="Arial" w:eastAsia="Arial" w:hAnsi="Arial"/>
          <w:sz w:val="24"/>
          <w:szCs w:val="24"/>
        </w:rPr>
        <w:t xml:space="preserve">Teknik göstergeler için karşılık gelen test doğruluğu benzer bir eğilimi koruyarak ortalama %66,93'e ulaşmaktadır. Bununla birlikte özellikle 5 günlük senaryolarda daha uzun çıktı uzunlukları için doğrulukta belirgin bir artış göze çarpmaktadır. Model, uzun vadeli kalıpları yakalama konusunda yetkinlik sergilemekle birlikte kısaltılmış tahmin ufukları için performansın optimize edilmesi; olası ayarlamalar veya alternatif model mimarileri aracılığıyla değerlendirmeye alınmayı hak etmektedir.</w:t>
      </w:r>
    </w:p>
    <w:p>
      <w:pPr>
        <w:spacing w:after="60" w:before="60"/>
      </w:pPr>
      <w:r>
        <w:t xml:space="preserve"/>
      </w:r>
    </w:p>
    <w:p>
      <w:pPr>
        <w:spacing w:after="100" w:before="100"/>
        <w:jc w:val="both"/>
      </w:pPr>
      <w:r>
        <w:rPr>
          <w:rFonts w:ascii="Arial" w:cs="Arial" w:eastAsia="Arial" w:hAnsi="Arial"/>
          <w:sz w:val="24"/>
          <w:szCs w:val="24"/>
        </w:rPr>
        <w:t xml:space="preserve">Karışıklık matrisi, en iyi modelin (teknik göstergeler, 2 günlük girdi, 5 günlük çıktı) Yükseliş Trendini %77,78 ve Düşüş Trendini %86,67 oranında doğru tahmin ettiğini göstermektedir. Ancak örnekler hatalı biçimde %22,22 oranında Düşüş Trendi ve %13,33 oranında Yükseliş Trendi olarak sınıflandırılmıştır.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Gerçek/Tahmin</w:t>
            </w:r>
          </w:p>
        </w:tc>
        <w:tc>
          <w:tcPr>
            <w:tcW w:type="dxa" w:w="312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Yükseliş Trendi</w:t>
            </w:r>
          </w:p>
        </w:tc>
        <w:tc>
          <w:tcPr>
            <w:tcW w:type="dxa" w:w="312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Düşüş Trendi</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Yükseliş Trendi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%77,78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%22,22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Düşüş Trendi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%13,33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%86,67</w:t>
            </w:r>
          </w:p>
        </w:tc>
      </w:tr>
    </w:tbl>
    <w:p>
      <w:pPr>
        <w:spacing w:after="80" w:before="80"/>
        <w:jc w:val="center"/>
      </w:pPr>
      <w:r>
        <w:rPr>
          <w:rFonts w:ascii="Arial" w:cs="Arial" w:eastAsia="Arial" w:hAnsi="Arial"/>
          <w:i/>
          <w:iCs/>
          <w:sz w:val="22"/>
          <w:szCs w:val="22"/>
        </w:rPr>
        <w:t xml:space="preserve">Tablo 2: Optimum konfigürasyona ait karışıklık matrisi; teknik göstergelerle 2 günlük girdi ve 5 günlük çıktı</w:t>
      </w:r>
    </w:p>
    <w:p>
      <w:pPr>
        <w:spacing w:after="60" w:before="60"/>
      </w:pPr>
      <w:r>
        <w:t xml:space="preserve"/>
      </w:r>
    </w:p>
    <w:p>
      <w:pPr>
        <w:spacing w:after="100" w:before="100"/>
        <w:jc w:val="both"/>
      </w:pPr>
      <w:r>
        <w:rPr>
          <w:rFonts w:ascii="Arial" w:cs="Arial" w:eastAsia="Arial" w:hAnsi="Arial"/>
          <w:sz w:val="24"/>
          <w:szCs w:val="24"/>
        </w:rPr>
        <w:t xml:space="preserve">LSTM'nin tarihsel göstergelerle test doğruluğu; özellikle 1 ve 3 çıktılı 4 günlük girdi uzunluğunda keskin bir düşüş göstererek ortalama %55,32 ile değişken bir tablo ortaya koymaktadır. Modelin görünmeyen verilere genelleme yapabilme yeteneği açıkça görülmekte olmakla birlikte özellikle daha uzun çıktı uzunluklarında doğruluğun korunmasında iyileştirme payı bulunmaktadır. Potansiyel iyileştirmeler veya alternatif model mimarilerinin araştırılması, daha fazla optimizasyon için yollar açabilir.</w:t>
      </w:r>
    </w:p>
    <w:p>
      <w:pPr>
        <w:spacing w:after="60" w:before="60"/>
      </w:pPr>
      <w:r>
        <w:t xml:space="preserve"/>
      </w:r>
    </w:p>
    <w:p>
      <w:pPr>
        <w:spacing w:after="100" w:before="100"/>
        <w:jc w:val="both"/>
      </w:pPr>
      <w:r>
        <w:rPr>
          <w:rFonts w:ascii="Arial" w:cs="Arial" w:eastAsia="Arial" w:hAnsi="Arial"/>
          <w:sz w:val="24"/>
          <w:szCs w:val="24"/>
        </w:rPr>
        <w:t xml:space="preserve">Kapanış fiyatını tek özellik olarak kullanan LSTM modeli; diğer özelliklerle karşılaştırıldığında kapanış fiyatlarına dayalı hisse senedi trendlerinin tahmininde makul düzeyde performans sergilemektedir. Özellikle 5 günlük çıktı senaryolarında belirginleşen doğruluk düşüşü, ortalama %54,54 olan test doğruluğuna yansımakta ve modelin özellikle uzun tahmin ufuklarında tutarlı performans sağlamakta güçlük çektiğini ortaya koymaktadır.</w:t>
      </w:r>
    </w:p>
    <w:p>
      <w:pPr>
        <w:spacing w:after="60" w:before="60"/>
      </w:pPr>
      <w:r>
        <w:t xml:space="preserve"/>
      </w:r>
    </w:p>
    <w:p>
      <w:pPr>
        <w:spacing w:after="100" w:before="100"/>
        <w:jc w:val="both"/>
      </w:pPr>
      <w:r>
        <w:rPr>
          <w:rFonts w:ascii="Arial" w:cs="Arial" w:eastAsia="Arial" w:hAnsi="Arial"/>
          <w:sz w:val="24"/>
          <w:szCs w:val="24"/>
        </w:rPr>
        <w:t xml:space="preserve">Teknik göstergeleri kullanan LSTM modelleri, ortalama %66,93 doğrulukla tutarlı biçimde rakiplerini geride bırakmaktadır. Yalnızca kapanış fiyatlarına güvenilmesi; özellikle uzun vadeli projeksiyonlarda daha düşük doğruluk sağlamakta ve sürdürülebilir öngörü gücündeki güçlükleri gözler önüne sermektedir. Tarihsel gösterge tabanlı modeller ortalama %55,32 doğruluk elde etmektedir. 5 günlük çıktı ve 2 günlük girdiye sahip en iyi LSTM modeli, doğruluğun optimize edilmesinde özellik seçimi ve dizi uzunluğunun belirleyici rolünü vurgulamaktadır. Tek değişkenli kurulumda LSTM, ortalama %55,78 doğruluk elde ederek 1 günlük projeksiyonlarda (%55,58) başarılı sonuçlar vermekte ve 3 ile 5 günlük tahminlerde (%56,99 ve %55,58) güçlü performansını sürdürmektedir. Bu bulgular, LSTM modellerinin finansal trend tahminindeki sağlamlığını—özellikle tarihsel ve teknik göstergeler gibi temel özelliklere odaklanıldığında—ortaya koymaktadır. Özellikle tek değişkenli kurulum, 1 günlük tahminlerde ve belirli durumlarda 3 günlük tahminler için özgül girdi dizi uzunluklarında üstün performans sergilemektedir.</w:t>
      </w:r>
    </w:p>
    <w:p>
      <w:pPr>
        <w:spacing w:after="60" w:before="60"/>
      </w:pPr>
      <w:r>
        <w:t xml:space="preserve"/>
      </w:r>
    </w:p>
    <w:p>
      <w:pPr>
        <w:spacing w:after="100" w:before="100"/>
        <w:jc w:val="both"/>
      </w:pPr>
      <w:r>
        <w:rPr>
          <w:rFonts w:ascii="Arial" w:cs="Arial" w:eastAsia="Arial" w:hAnsi="Arial"/>
          <w:sz w:val="24"/>
          <w:szCs w:val="24"/>
        </w:rPr>
        <w:t xml:space="preserve">Şaşırtıcı biçimde her döngünün rastlantısal yapısı nedeniyle model içindeki döngü sayısı sonuçlar üzerinde herhangi bir etki bırakmamakta; doğrulukta gözlemlenebilir bir ilerleme yaşanmamaktadır.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Model</w:t>
            </w:r>
          </w:p>
        </w:tc>
        <w:tc>
          <w:tcPr>
            <w:tcW w:type="dxa" w:w="468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Test Doğruluğu</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LSTM: Tarihsel ve teknik göstergeler (önerilen model)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0,5476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LSTM: Teknik göstergeler (temel değer/en güncel yöntem)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0,6619</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Tek değişkenli kurulum (temel değer)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0,5192</w:t>
            </w:r>
          </w:p>
        </w:tc>
      </w:tr>
    </w:tbl>
    <w:p>
      <w:pPr>
        <w:spacing w:after="80" w:before="80"/>
        <w:jc w:val="center"/>
      </w:pPr>
      <w:r>
        <w:rPr>
          <w:rFonts w:ascii="Arial" w:cs="Arial" w:eastAsia="Arial" w:hAnsi="Arial"/>
          <w:i/>
          <w:iCs/>
          <w:sz w:val="22"/>
          <w:szCs w:val="22"/>
        </w:rPr>
        <w:t xml:space="preserve">Tablo 3: LSTM Performansının Model Karşılaştırması</w:t>
      </w:r>
    </w:p>
    <w:p>
      <w:pPr>
        <w:spacing w:after="60" w:before="60"/>
      </w:pPr>
      <w:r>
        <w:t xml:space="preserve"/>
      </w:r>
    </w:p>
    <w:p>
      <w:pPr>
        <w:spacing w:after="100" w:before="100"/>
        <w:jc w:val="both"/>
      </w:pPr>
      <w:r>
        <w:rPr>
          <w:rFonts w:ascii="Arial" w:cs="Arial" w:eastAsia="Arial" w:hAnsi="Arial"/>
          <w:sz w:val="24"/>
          <w:szCs w:val="24"/>
        </w:rPr>
        <w:t xml:space="preserve">Aşağıdaki tablo, LSTM modelinin farklı konfigürasyonlar ve tohum değerleri kapsamındaki test doğruluğu sonuçlarını sunmaktadır. Bulgular, modelin farklı ayarlardaki performansının kayda değer bir değişkenlik sergilediğini açıkça ortaya koymaktadır. Örneğin 1 çıktılı ve 2, 4 ve 6 girdi uzunluklu 'Tarihsel ve teknik' bağlamda test doğruluğu 0,4649 ile 0,5815 arasında değişmektedir. Üstelik bu konfigürasyonlara ait standart sapmalar görece düşük olup üç tohum genelinde tutarlılığa işaret etmektedir. Öte yandan 5 çıktı uzunluklu ve 2, 4 ve 6 girdi uzunluklu 'Teknik' bağlam; tüm tohumlar genelinde 0,8054 ile tutarlı maksimum test doğruluğu değerleri sergilemekte ve minimum standart sapmalar kaydetmektedir. Buna karşın 'Kapanış fiyatı' bağlamı; özellikle 4 ve 6 girdi uzunluklu konfigürasyonlarda—test doğruluğunun 0,2378 ile 0,6324 arasında değiştiği yerlerde—kayda değer bir değişkenlik göstermektedir. Bu durum, bağlam seçiminin ve girdi uzunluğunun model performansını belirgin biçimde etkilediğini ve tohum değişiminin etkisinin özgül konfigürasyona göre farklılık gösterdiğini ortaya koymaktadır. Gözlemlenen bu kalıplara katkıda bulunan etkenlerin anlaşılması için daha ileri inceleme yapılması gerekebilir.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Göstergeler</w:t>
            </w:r>
          </w:p>
        </w:tc>
        <w:tc>
          <w:tcPr>
            <w:tcW w:type="dxa" w:w="156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Çıktı Uzunluğu</w:t>
            </w:r>
          </w:p>
        </w:tc>
        <w:tc>
          <w:tcPr>
            <w:tcW w:type="dxa" w:w="156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Girdi Uzunluğu</w:t>
            </w:r>
          </w:p>
        </w:tc>
        <w:tc>
          <w:tcPr>
            <w:tcW w:type="dxa" w:w="156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Min. Test Doğ.</w:t>
            </w:r>
          </w:p>
        </w:tc>
        <w:tc>
          <w:tcPr>
            <w:tcW w:type="dxa" w:w="156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Maks. Test Doğ.</w:t>
            </w:r>
          </w:p>
        </w:tc>
        <w:tc>
          <w:tcPr>
            <w:tcW w:type="dxa" w:w="156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Std. Sapma</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Tarihsel ve teknik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0,4649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0,5351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0,0406</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Tarihsel ve teknik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0,5189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0,5676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0,0281</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Tarihsel ve teknik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0,5815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0,5815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0,0000</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Tarihsel ve teknik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0,3892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0,6108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0,1280</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Tarihsel ve teknik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0,5784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0,5784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0,0000</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Tarihsel ve teknik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0,5652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0,5652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0,0000</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Tarihsel ve teknik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0,4703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0,5297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0,0343</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Tarihsel ve teknik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0,5568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0,5568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0,0000</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Tarihsel ve teknik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0,5598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0,5598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0,0000</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Teknik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0,4919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0,5622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0,0352</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Teknik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0,4649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0,5946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0,0667</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Teknik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0,5598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0,5815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0,0109</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Teknik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0,6865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0,7135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0,0136</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Teknik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0,6270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0,6703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0,0236</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Teknik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0,6467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0,6630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0,0094</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Teknik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0,7892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0,8054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0,0083</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Teknik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0,7351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0,7622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0,0143</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Teknik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0,8043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0,8478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0,0220</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Tarihsel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0,3892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0,6108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0,1280</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Tarihsel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0,5297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0,5297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0,0000</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Tarihsel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0,5622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0,5622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0,0000</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Tarihsel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0,3730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0,5656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0,1014</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Tarihsel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0,5676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0,5837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0,0093</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Tarihsel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0,5769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0,6054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0,0164</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Tarihsel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0,5027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0,5946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0,0531</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Tarihsel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0,5622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0,5784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0,0094</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Tarihsel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0,5568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0,5568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0,0000</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Kapanış fiyatı</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0,4865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0,6108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0,0718</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Kapanış fiyatı</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0,4811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0,5297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0,0281</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Kapanış fiyatı</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0,4919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0,5622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0,0406</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Kapanış fiyatı</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0,6270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0,6270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0,0000</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Kapanış fiyatı</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0,4324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0,5568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0,0689</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Kapanış fiyatı</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0,6054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0,6324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0,0156</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Kapanış fiyatı</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0,7027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0,7297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0,0156</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Kapanış fiyatı</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0,2378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0,5784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0,1966</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Kapanış fiyatı</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0,3514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0,4432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0,0531</w:t>
            </w:r>
          </w:p>
        </w:tc>
      </w:tr>
    </w:tbl>
    <w:p>
      <w:pPr>
        <w:spacing w:after="80" w:before="80"/>
        <w:jc w:val="center"/>
      </w:pPr>
      <w:r>
        <w:rPr>
          <w:rFonts w:ascii="Arial" w:cs="Arial" w:eastAsia="Arial" w:hAnsi="Arial"/>
          <w:i/>
          <w:iCs/>
          <w:sz w:val="22"/>
          <w:szCs w:val="22"/>
        </w:rPr>
        <w:t xml:space="preserve">Tablo 4: LSTM için farklı girdi ve çıktı uzunlukları ile gösterge gruplarına göre standart sapma, minimum ve maksimum doğruluk</w:t>
      </w:r>
    </w:p>
    <w:p>
      <w:pPr>
        <w:pStyle w:val="Heading2"/>
        <w:spacing w:after="150" w:before="300"/>
      </w:pPr>
      <w:r>
        <w:rPr>
          <w:rFonts w:ascii="Arial" w:cs="Arial" w:eastAsia="Arial" w:hAnsi="Arial"/>
          <w:b/>
          <w:bCs/>
          <w:sz w:val="28"/>
          <w:szCs w:val="28"/>
        </w:rPr>
        <w:t xml:space="preserve">4.2 ARIMA</w:t>
      </w:r>
    </w:p>
    <w:p>
      <w:pPr>
        <w:spacing w:after="100" w:before="100"/>
        <w:jc w:val="both"/>
      </w:pPr>
      <w:r>
        <w:rPr>
          <w:rFonts w:ascii="Arial" w:cs="Arial" w:eastAsia="Arial" w:hAnsi="Arial"/>
          <w:sz w:val="24"/>
          <w:szCs w:val="24"/>
        </w:rPr>
        <w:t xml:space="preserve">Aşağıdaki grafik, ARIMA modelinin farklı gösterge grupları için çeşitli çıktı ve girdi dizi uzunluğu kombinasyonlarındaki kapsamlı performans özetini sunmaktadır. ARIMA modeli, farklı girdi dizi uzunlukları ve çıktı tahmin senaryolarında çeşitli doğruluk seviyeleri ortaya koymuş; daha uzun çıktı tahmin dönemlerinde doğrulukta dikkat çekici bir artış eğilimi sergilemiştir. Tarihsel ve teknik göstergeler için en yüksek test doğruluğu; 4 günlük girdi dizisiyle 5 günlük senaryoda %78,38 olarak elde edilmiştir. Ortalama olarak model, %64,38 test doğruluğuna ulaşmıştır. Uzatılmış çıktı tahmin günlerinde gözlemlenen doğruluk artışı, modelin tarihsel ve teknik göstergeler içindeki trendleri yakalama ve tahmin etmedeki etkinliğine işaret etmektedir.</w:t>
      </w:r>
    </w:p>
    <w:p>
      <w:pPr>
        <w:spacing w:after="60" w:before="60"/>
      </w:pPr>
      <w:r>
        <w:t xml:space="preserve"/>
      </w:r>
    </w:p>
    <w:p>
      <w:pPr>
        <w:spacing w:after="100" w:before="100"/>
        <w:jc w:val="both"/>
      </w:pPr>
      <w:r>
        <w:rPr>
          <w:rFonts w:ascii="Arial" w:cs="Arial" w:eastAsia="Arial" w:hAnsi="Arial"/>
          <w:sz w:val="24"/>
          <w:szCs w:val="24"/>
        </w:rPr>
        <w:t xml:space="preserve">Teknik göstergeleri kullanan ARIMA modeli de farklı girdi dizi uzunluklarına ve çıktı tahmin senaryolarına bağlı olarak değişken doğruluk seviyeleri göstermiştir. Tarihsel ve teknik göstergeler durumuna benzer şekilde, daha uzun çıktı tahmin dönemlerinde doğrulukta gözlemlenebilir bir artış eğilimi mevcuttur. Model, 4 günlük girdi dizisiyle 5 günlük senaryoda en yüksek doğruluğuna olan %78,92'ye ulaşmıştır. Ortalama olarak model %67,57 test doğruluğu elde etmiştir. Uzatılmış çıktı tahmin günlerinde gelişmiş doğruluk eğiliminin bu tutarlılığı, modelin tahmin için teknik göstergeleri kullanmadaki sağlamlığını ortaya koymaktadır.</w:t>
      </w:r>
    </w:p>
    <w:p>
      <w:pPr>
        <w:spacing w:after="60" w:before="60"/>
      </w:pPr>
      <w:r>
        <w:t xml:space="preserve"/>
      </w:r>
    </w:p>
    <w:p>
      <w:pPr>
        <w:spacing w:after="100" w:before="100"/>
        <w:jc w:val="both"/>
      </w:pPr>
      <w:r>
        <w:rPr>
          <w:rFonts w:ascii="Arial" w:cs="Arial" w:eastAsia="Arial" w:hAnsi="Arial"/>
          <w:sz w:val="24"/>
          <w:szCs w:val="24"/>
        </w:rPr>
        <w:t xml:space="preserve">Karışıklık matrisi, en iyi modelin (4 günlük girdi, teknik göstergelerle 5 günlük çıktı) Yükseliş Trendini %83,08 ve Düşüş Trendini %73,44 oranında doğru tahmin ettiğini göstermektedir. Ancak örnekler hatalı biçimde %26,56 oranında Düşüş Trendi ve %16,92 oranında Yükseliş Trendi olarak sınıflandırılmıştır.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Gerçek/Tahmin</w:t>
            </w:r>
          </w:p>
        </w:tc>
        <w:tc>
          <w:tcPr>
            <w:tcW w:type="dxa" w:w="312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Yükseliş Trendi</w:t>
            </w:r>
          </w:p>
        </w:tc>
        <w:tc>
          <w:tcPr>
            <w:tcW w:type="dxa" w:w="312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Düşüş Trendi</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Yükseliş Trendi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%83,08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%16,92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Düşüş Trendi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%26,56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%73,44</w:t>
            </w:r>
          </w:p>
        </w:tc>
      </w:tr>
    </w:tbl>
    <w:p>
      <w:pPr>
        <w:spacing w:after="80" w:before="80"/>
        <w:jc w:val="center"/>
      </w:pPr>
      <w:r>
        <w:rPr>
          <w:rFonts w:ascii="Arial" w:cs="Arial" w:eastAsia="Arial" w:hAnsi="Arial"/>
          <w:i/>
          <w:iCs/>
          <w:sz w:val="22"/>
          <w:szCs w:val="22"/>
        </w:rPr>
        <w:t xml:space="preserve">Tablo 5: Optimum konfigürasyon için karışıklık matrisi; 4 günlük girdi ve teknik göstergelerle 5 günlük çıktı</w:t>
      </w:r>
    </w:p>
    <w:p>
      <w:pPr>
        <w:spacing w:after="60" w:before="60"/>
      </w:pPr>
      <w:r>
        <w:t xml:space="preserve"/>
      </w:r>
    </w:p>
    <w:p>
      <w:pPr>
        <w:spacing w:after="100" w:before="100"/>
        <w:jc w:val="both"/>
      </w:pPr>
      <w:r>
        <w:rPr>
          <w:rFonts w:ascii="Arial" w:cs="Arial" w:eastAsia="Arial" w:hAnsi="Arial"/>
          <w:sz w:val="24"/>
          <w:szCs w:val="24"/>
        </w:rPr>
        <w:t xml:space="preserve">Tarihsel ve teknik göstergeleri kullanan ARIMA modelleriyle benzer şekilde, yalnızca tarihsel veriye dayanan ARIMA modeli de daha uzun çıktı tahmin dönemlerinde artan doğruluk kalıbı sergilemiştir. Bu modelin doğruluk oranları %48,11 ile %75,14 arasında değişmekte olup ortalama test doğruluğu %63,42 olarak gerçekleşmiştir. En yüksek doğruluk olan %75,14, 6 günlük girdi dizisiyle 5 günlük çıktı tahmin senaryosunda elde edilmiştir. Uzun tahmin dönemlerinde bu sürekli doğruluk iyileşmesi, modelin tahmin yaparken daha kapsamlı bir tarihsel bağlamdan yararlandığına işaret etmektedir. Daha ileri analiz ve diğer modellerle karşılaştırma, bu ARIMA modelinin verilen veri kümesindeki performansını ve öngörü kapasitesini kapsamlı biçimde değerlendirmek açısından zorunludur.</w:t>
      </w:r>
    </w:p>
    <w:p>
      <w:pPr>
        <w:spacing w:after="60" w:before="60"/>
      </w:pPr>
      <w:r>
        <w:t xml:space="preserve"/>
      </w:r>
    </w:p>
    <w:p>
      <w:pPr>
        <w:spacing w:after="100" w:before="100"/>
        <w:jc w:val="both"/>
      </w:pPr>
      <w:r>
        <w:rPr>
          <w:rFonts w:ascii="Arial" w:cs="Arial" w:eastAsia="Arial" w:hAnsi="Arial"/>
          <w:sz w:val="24"/>
          <w:szCs w:val="24"/>
        </w:rPr>
        <w:t xml:space="preserve">Kapanış fiyatına dayanan ARIMA modeli için de uzun çıktı tahmin dönemlerinde artan doğruluk eğilimi gözlemlenmektedir. Doğruluk oranları %42,16 ile %74,59 arasında değişmekte olup ortalama test doğruluğu %58,38 olarak gerçekleşmiştir. En yüksek doğruluk olan %74,59, 6 günlük girdi dizisiyle 5 günlük çıktı tahmin senaryosunda elde edilmiştir. Uzun tahmin dönemlerinde bu sürekli doğruluk iyileşmesi, kapanış fiyatlarına dayalı tahmin yaparken modelin daha kapsamlı bir tarihsel bağlamdan yararlandığına işaret etmektedir. Diğer ARIMA modelleriyle olduğu gibi, kapsamlı bir değerlendirme için modelin veri kümesindeki etkinliğini ölçmek amacıyla daha ileri analiz ve alternatif modelleme yaklaşımlarıyla karşılaştırma gereklidir.</w:t>
      </w:r>
    </w:p>
    <w:p>
      <w:pPr>
        <w:spacing w:after="60" w:before="60"/>
      </w:pPr>
      <w:r>
        <w:t xml:space="preserve"/>
      </w:r>
    </w:p>
    <w:p>
      <w:pPr>
        <w:spacing w:after="100" w:before="100"/>
        <w:jc w:val="both"/>
      </w:pPr>
      <w:r>
        <w:rPr>
          <w:rFonts w:ascii="Arial" w:cs="Arial" w:eastAsia="Arial" w:hAnsi="Arial"/>
          <w:sz w:val="24"/>
          <w:szCs w:val="24"/>
        </w:rPr>
        <w:t xml:space="preserve">Yaygın biçimde tanınan teknik göstergeleri girdi özellikleri olarak bünyesine katan ARIMA modeli, hisse senedi fiyatı trendlerinin tahmininde en iyi performans gösteren yaklaşım olarak öne çıkmaktadır. Bu yaygın teknik göstergeler sayesinde ARIMA, hisse senedi fiyatı trendlerini tahmin etmede başarı sergilemektedir. Model, yalnızca önceki dönemin verilerini kullanarak dikkat çekici doğruluk oranları elde etmiştir: 1 günlük tahminlerde %55,23; 3 günlük tahminlerde %69,31 ve 5 günlük tahminlerde %78,16; ortalama %67,57. Bu bulgular, finansal tahminde çeşitli zaman dilimlerinde gelişmiş öngörü performansı için ARIMA modellemesine teknik göstergelerin entegre edilmesinin etkinliğini doğrulamaktadır. Modelin trendleri yakalama yetkinliği, ilgili göstergelerin önemini vurgulayan yerleşik literatür önerileriyle örtüşmektedir.</w:t>
      </w:r>
    </w:p>
    <w:p>
      <w:pPr>
        <w:spacing w:after="60" w:before="60"/>
      </w:pPr>
      <w:r>
        <w:t xml:space="preserve"/>
      </w:r>
    </w:p>
    <w:p>
      <w:pPr>
        <w:spacing w:after="100" w:before="100"/>
        <w:jc w:val="both"/>
      </w:pPr>
      <w:r>
        <w:rPr>
          <w:rFonts w:ascii="Arial" w:cs="Arial" w:eastAsia="Arial" w:hAnsi="Arial"/>
          <w:sz w:val="24"/>
          <w:szCs w:val="24"/>
        </w:rPr>
        <w:t xml:space="preserve">Bununla birlikte bu tezin önerilen modeli ile LSTM temel değeri arasındaki karşılaştırmada önerilen model geride kalmaktadır. Ancak tek değişkenli kurulum tarafından oluşturulan temel değeri geride bırakmaktadır.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Model</w:t>
            </w:r>
          </w:p>
        </w:tc>
        <w:tc>
          <w:tcPr>
            <w:tcW w:type="dxa" w:w="468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Test Doğruluğu</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ARIMA: Tarihsel ve teknik göstergeler (önerilen model)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0,6438</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LSTM: Teknik göstergeler (temel değer/en güncel yöntem)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0,6619</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Tek değişkenli kurulum (temel değer)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0,5191</w:t>
            </w:r>
          </w:p>
        </w:tc>
      </w:tr>
    </w:tbl>
    <w:p>
      <w:pPr>
        <w:spacing w:after="80" w:before="80"/>
        <w:jc w:val="center"/>
      </w:pPr>
      <w:r>
        <w:rPr>
          <w:rFonts w:ascii="Arial" w:cs="Arial" w:eastAsia="Arial" w:hAnsi="Arial"/>
          <w:i/>
          <w:iCs/>
          <w:sz w:val="22"/>
          <w:szCs w:val="22"/>
        </w:rPr>
        <w:t xml:space="preserve">Tablo 6: ARIMA Performansının Model Karşılaştırması</w:t>
      </w:r>
    </w:p>
    <w:p>
      <w:pPr>
        <w:pStyle w:val="Heading2"/>
        <w:spacing w:after="150" w:before="300"/>
      </w:pPr>
      <w:r>
        <w:rPr>
          <w:rFonts w:ascii="Arial" w:cs="Arial" w:eastAsia="Arial" w:hAnsi="Arial"/>
          <w:b/>
          <w:bCs/>
          <w:sz w:val="28"/>
          <w:szCs w:val="28"/>
        </w:rPr>
        <w:t xml:space="preserve">4.3 CNN</w:t>
      </w:r>
    </w:p>
    <w:p>
      <w:pPr>
        <w:spacing w:after="100" w:before="100"/>
        <w:jc w:val="both"/>
      </w:pPr>
      <w:r>
        <w:rPr>
          <w:rFonts w:ascii="Arial" w:cs="Arial" w:eastAsia="Arial" w:hAnsi="Arial"/>
          <w:sz w:val="24"/>
          <w:szCs w:val="24"/>
        </w:rPr>
        <w:t xml:space="preserve">Aşağıdaki görsel, CNN modelinin farklı gösterge grupları için çeşitli çıktı ve girdi dizi uzunluğu kombinasyonlarındaki kapsamlı performans özetini sunmaktadır. Tarihsel ve teknik göstergeler için en yüksek doğruluk, 6 günlük girdi uzunluğuyla 5 günlük çıktı uzunluğunda %71,58 olarak gözlemlenmiştir. Tüm konfigürasyonlar genelinde ortalama test doğruluğu %58,24'tür; bu sonuç, modelin tarihsel ve teknik verilerdeki temel kalıpları yakalama yeteneğini yansıtmaktadır.</w:t>
      </w:r>
    </w:p>
    <w:p>
      <w:pPr>
        <w:spacing w:after="60" w:before="60"/>
      </w:pPr>
      <w:r>
        <w:t xml:space="preserve"/>
      </w:r>
    </w:p>
    <w:p>
      <w:pPr>
        <w:spacing w:after="100" w:before="100"/>
        <w:jc w:val="both"/>
      </w:pPr>
      <w:r>
        <w:rPr>
          <w:rFonts w:ascii="Arial" w:cs="Arial" w:eastAsia="Arial" w:hAnsi="Arial"/>
          <w:sz w:val="24"/>
          <w:szCs w:val="24"/>
        </w:rPr>
        <w:t xml:space="preserve">Karışıklık matrisi, en iyi modelin (tarihsel ve teknik göstergelerle 6 günlük girdi ve 5 günlük çıktı) Yükseliş Trendini %66,67 ve Düşüş Trendini %75,03 oranında doğru tahmin ettiğini göstermektedir. Ancak örnekler hatalı biçimde %24,97 oranında Düşüş Trendi ve %33,33 oranında Yükseliş Trendi olarak sınıflandırılmıştır.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Gerçek/Tahmin</w:t>
            </w:r>
          </w:p>
        </w:tc>
        <w:tc>
          <w:tcPr>
            <w:tcW w:type="dxa" w:w="312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Yükseliş Trendi</w:t>
            </w:r>
          </w:p>
        </w:tc>
        <w:tc>
          <w:tcPr>
            <w:tcW w:type="dxa" w:w="312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Düşüş Trendi</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Yükseliş Trendi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%66,67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%33,33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Düşüş Trendi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%24,97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%75,03</w:t>
            </w:r>
          </w:p>
        </w:tc>
      </w:tr>
    </w:tbl>
    <w:p>
      <w:pPr>
        <w:spacing w:after="80" w:before="80"/>
        <w:jc w:val="center"/>
      </w:pPr>
      <w:r>
        <w:rPr>
          <w:rFonts w:ascii="Arial" w:cs="Arial" w:eastAsia="Arial" w:hAnsi="Arial"/>
          <w:i/>
          <w:iCs/>
          <w:sz w:val="22"/>
          <w:szCs w:val="22"/>
        </w:rPr>
        <w:t xml:space="preserve">Tablo 7: Optimum konfigürasyon için karışıklık matrisi: 6 günlük girdi ve tarihsel ve teknik göstergelerle 5 günlük çıktı</w:t>
      </w:r>
    </w:p>
    <w:p>
      <w:pPr>
        <w:spacing w:after="60" w:before="60"/>
      </w:pPr>
      <w:r>
        <w:t xml:space="preserve"/>
      </w:r>
    </w:p>
    <w:p>
      <w:pPr>
        <w:spacing w:after="100" w:before="100"/>
        <w:jc w:val="both"/>
      </w:pPr>
      <w:r>
        <w:rPr>
          <w:rFonts w:ascii="Arial" w:cs="Arial" w:eastAsia="Arial" w:hAnsi="Arial"/>
          <w:sz w:val="24"/>
          <w:szCs w:val="24"/>
        </w:rPr>
        <w:t xml:space="preserve">Teknik göstergeler için model, 2 günlük girdi uzunluğuyla 5 günlük çıktı uzunluğunda en yüksek test doğruluğu olan %73,69'a ulaşmaktadır. Ancak uzun girdi uzunluklarında doğruluğun düştüğünü vurgulamak gerekmektedir; bu durum, kapsamlı tarihsel bilgiyle ilgili teknik kalıpların yakalanmasında olası bir güçlüğe işaret etmektedir. Bu bulgular, model karmaşıklığı ile tahmin doğruluğunu dengelemek için dizi uzunluğu parametrelerinin dikkatli biçimde göz önünde bulundurulması gerektiğini ortaya koymaktadır.</w:t>
      </w:r>
    </w:p>
    <w:p>
      <w:pPr>
        <w:spacing w:after="60" w:before="60"/>
      </w:pPr>
      <w:r>
        <w:t xml:space="preserve"/>
      </w:r>
    </w:p>
    <w:p>
      <w:pPr>
        <w:spacing w:after="100" w:before="100"/>
        <w:jc w:val="both"/>
      </w:pPr>
      <w:r>
        <w:rPr>
          <w:rFonts w:ascii="Arial" w:cs="Arial" w:eastAsia="Arial" w:hAnsi="Arial"/>
          <w:sz w:val="24"/>
          <w:szCs w:val="24"/>
        </w:rPr>
        <w:t xml:space="preserve">Tarihsel göstergeler için, özellikle 2 günlük girdi uzunluğuyla 5 günlük çıktı uzunluğunda %66,67'lik zirve doğrulama doğruluğuyla birlikte farklı konfigürasyonlar genelinde tutarlı biçimde yüksek doğruluk dikkat çekicidir. Ortalama test doğruluğu diğer göstergeleri kullanan modellere kıyasla hafifçe düşük olan %56,52 ile görünmeyen verilere yönelik tahminlerin genelleştirilmesinde olası bir güçlüğe işaret etmektedir. Bu durum, modelin uyum yeteneğini artırmak için daha ileri araştırmaya ihtiyaç duyulduğunu göstermektedir. Genel olarak bulgular, CNN modelinin trend tahmini için tarihsel verilerden yararlanmadaki etkinliğini vurgularken kapsamlı değerlendirme metriklerinin önemini de ön plana çıkarmaktadır.</w:t>
      </w:r>
    </w:p>
    <w:p>
      <w:pPr>
        <w:spacing w:after="60" w:before="60"/>
      </w:pPr>
      <w:r>
        <w:t xml:space="preserve"/>
      </w:r>
    </w:p>
    <w:p>
      <w:pPr>
        <w:spacing w:after="100" w:before="100"/>
        <w:jc w:val="both"/>
      </w:pPr>
      <w:r>
        <w:rPr>
          <w:rFonts w:ascii="Arial" w:cs="Arial" w:eastAsia="Arial" w:hAnsi="Arial"/>
          <w:sz w:val="24"/>
          <w:szCs w:val="24"/>
        </w:rPr>
        <w:t xml:space="preserve">Model, yalnızca kapanış fiyatını kullanımda farklı konfigürasyonlar genelinde tutarsız doğruluk sergilemekte; 2 günlük girdi uzunluğuyla 5 günlük çıktı uzunluğundaki %73,69 gibi dikkat çekici zirve test doğruluklarıyla modelin kapanış fiyatlarıyla ilgili kalıpları yakalama yetkinliğini ortaya koymaktadır. Genel ortalama test doğruluğu %58,08 olup modelin test kümesine daha iyi genelleme yaptığını yansıtmaktadır.</w:t>
      </w:r>
    </w:p>
    <w:p>
      <w:pPr>
        <w:spacing w:after="60" w:before="60"/>
      </w:pPr>
      <w:r>
        <w:t xml:space="preserve"/>
      </w:r>
    </w:p>
    <w:p>
      <w:pPr>
        <w:spacing w:after="100" w:before="100"/>
        <w:jc w:val="both"/>
      </w:pPr>
      <w:r>
        <w:rPr>
          <w:rFonts w:ascii="Arial" w:cs="Arial" w:eastAsia="Arial" w:hAnsi="Arial"/>
          <w:sz w:val="24"/>
          <w:szCs w:val="24"/>
        </w:rPr>
        <w:t xml:space="preserve">Şaşırtıcı biçimde CNN modeli, teknik göstergelerle karşılaştırıldığında yalnızca kapanış fiyatını kullanımda kendisini geride bırakmakta ve ortalama %58,08 test doğruluğu ortaya koymaktadır. Bu bulgular, özellikle kapanış fiyatlarına odaklanıldığında sağlam finansal trend tahmini için evrişimsel sinir ağlarından yararlanmanın etkinliğini gözler önüne sermektedir. Özellikle tek değişkenli kurulum, 1 günlük trend tahmininde ve bazı durumlarda 3 günlük trend tahmininde özgül girdi dizi uzunlukları için CNN modelini geride bırakmaktadır.</w:t>
      </w:r>
    </w:p>
    <w:p>
      <w:pPr>
        <w:spacing w:after="60" w:before="60"/>
      </w:pPr>
      <w:r>
        <w:t xml:space="preserve"/>
      </w:r>
    </w:p>
    <w:p>
      <w:pPr>
        <w:spacing w:after="100" w:before="100"/>
        <w:jc w:val="both"/>
      </w:pPr>
      <w:r>
        <w:rPr>
          <w:rFonts w:ascii="Arial" w:cs="Arial" w:eastAsia="Arial" w:hAnsi="Arial"/>
          <w:sz w:val="24"/>
          <w:szCs w:val="24"/>
        </w:rPr>
        <w:t xml:space="preserve">Bu tezdeki önerilen model, LSTM temel değerini geride bırakmamakla birlikte tek değişkenli kurulumun oluşturduğu temel değeri aşmaktadır.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Model</w:t>
            </w:r>
          </w:p>
        </w:tc>
        <w:tc>
          <w:tcPr>
            <w:tcW w:type="dxa" w:w="468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Test Doğruluğu</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CNN: Tarihsel ve teknik göstergeler (önerilen model)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0,5823</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LSTM: Teknik göstergeler (temel değer/en güncel yöntem)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0,6693</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Tek değişkenli kurulum (temel değer)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0,5192</w:t>
            </w:r>
          </w:p>
        </w:tc>
      </w:tr>
    </w:tbl>
    <w:p>
      <w:pPr>
        <w:spacing w:after="80" w:before="80"/>
        <w:jc w:val="center"/>
      </w:pPr>
      <w:r>
        <w:rPr>
          <w:rFonts w:ascii="Arial" w:cs="Arial" w:eastAsia="Arial" w:hAnsi="Arial"/>
          <w:i/>
          <w:iCs/>
          <w:sz w:val="22"/>
          <w:szCs w:val="22"/>
        </w:rPr>
        <w:t xml:space="preserve">Tablo 8: CNN Performansının Model Karşılaştırması</w:t>
      </w:r>
    </w:p>
    <w:p>
      <w:pPr>
        <w:pStyle w:val="Heading2"/>
        <w:spacing w:after="150" w:before="300"/>
      </w:pPr>
      <w:r>
        <w:rPr>
          <w:rFonts w:ascii="Arial" w:cs="Arial" w:eastAsia="Arial" w:hAnsi="Arial"/>
          <w:b/>
          <w:bCs/>
          <w:sz w:val="28"/>
          <w:szCs w:val="28"/>
        </w:rPr>
        <w:t xml:space="preserve">4.4 NASDAQ İçindeki Sektörler</w:t>
      </w:r>
    </w:p>
    <w:p>
      <w:pPr>
        <w:spacing w:after="100" w:before="100"/>
        <w:jc w:val="both"/>
      </w:pPr>
      <w:r>
        <w:rPr>
          <w:rFonts w:ascii="Arial" w:cs="Arial" w:eastAsia="Arial" w:hAnsi="Arial"/>
          <w:sz w:val="24"/>
          <w:szCs w:val="24"/>
        </w:rPr>
        <w:t xml:space="preserve">En iyi model olan teknik göstergeli LSTM'nin farklı NASDAQ sektörlerinde test edilmesi içgörülü sonuçlar ortaya koymaktadır. Tüketici Takdiri ve Tüketici Temel Malları sektörlerinde model, sırasıyla %57,13 ve %53,17 doğrulama doğrulukları ile %54,11 ve %51,37 test doğrulukları göstererek tek değişkenli temel değeri geride bırakmakta ve orta düzey performans sergilemektedir. Sağlık, Sanayi, Teknoloji ve Telekomünikasyon sektörlerinde LSTM modeli, %65,62 ile %66,96 arasında değişen doğruluk oranlarıyla güçlü performans ortaya koyarak sektörler genelinde iyi genelleştirme yeteneğini gözler önüne sermektedir. Bu durum, modelin belirli sektörlerdeki trendleri tahmin etmedeki ustalığını ön plana çıkarmaktadır. Genel olarak LSTM modeli sektörler genelinde tutarlı biçimde iyi performans sergilemekte ve NASDAQ100 içindeki finansal trend tahmininde geniş çaplı uygulamalar için potansiyelini ortaya koymaktadır.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Sektör</w:t>
            </w:r>
          </w:p>
        </w:tc>
        <w:tc>
          <w:tcPr>
            <w:tcW w:type="dxa" w:w="468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Ortalama Test Doğruluğu</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Tüketici Takdiri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0,5411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Tüketici Temel Malları</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0,5137</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Sağlık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0,6562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Sanayi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0,6733</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Teknoloji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0,6695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Telekomünikasyon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0,6588</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Kamu Hizmetleri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0,6643</w:t>
            </w:r>
          </w:p>
        </w:tc>
      </w:tr>
    </w:tbl>
    <w:p>
      <w:pPr>
        <w:spacing w:after="80" w:before="80"/>
        <w:jc w:val="center"/>
      </w:pPr>
      <w:r>
        <w:rPr>
          <w:rFonts w:ascii="Arial" w:cs="Arial" w:eastAsia="Arial" w:hAnsi="Arial"/>
          <w:i/>
          <w:iCs/>
          <w:sz w:val="22"/>
          <w:szCs w:val="22"/>
        </w:rPr>
        <w:t xml:space="preserve">Tablo 9: Teknik göstergeli LSTM kullanılarak NASDAQ100'ün farklı sektörleri için sonuçlar</w:t>
      </w:r>
    </w:p>
    <w:p>
      <w:pPr>
        <w:pStyle w:val="Heading2"/>
        <w:spacing w:after="150" w:before="300"/>
      </w:pPr>
      <w:r>
        <w:rPr>
          <w:rFonts w:ascii="Arial" w:cs="Arial" w:eastAsia="Arial" w:hAnsi="Arial"/>
          <w:b/>
          <w:bCs/>
          <w:sz w:val="28"/>
          <w:szCs w:val="28"/>
        </w:rPr>
        <w:t xml:space="preserve">4.5 Ticaret Simülasyonu</w:t>
      </w:r>
    </w:p>
    <w:p>
      <w:pPr>
        <w:spacing w:after="100" w:before="100"/>
        <w:jc w:val="both"/>
      </w:pPr>
      <w:r>
        <w:rPr>
          <w:rFonts w:ascii="Arial" w:cs="Arial" w:eastAsia="Arial" w:hAnsi="Arial"/>
          <w:sz w:val="24"/>
          <w:szCs w:val="24"/>
        </w:rPr>
        <w:t xml:space="preserve">Finansal performans değerlendirmesi bağlamında 2 günlük girdi ve 5 günlük çıktı uzunluğuna sahip, teknik göstergeler içeren bir LSTM modeli simülasyona tabi tutulmaktadır. Bu model konfigürasyonu, tahmin kapasitesindeki en yüksek doğruluğunu kanıtlamış olması nedeniyle seçilmiştir. Analitik çerçeveyi basitleştirmek amacıyla işlem maliyetleri hesaba katılmamıştır. LSTM modelinin birincil hedefi NASDAQ'ın kapanış fiyatını tahmin etmek olup modelin süregelen öngörü etkinliğini değerlendirmek için ardışık tahminlerde kasıtlı bir zamansal hizasızlık uygulanmaktadır.</w:t>
      </w:r>
    </w:p>
    <w:p>
      <w:pPr>
        <w:spacing w:after="60" w:before="60"/>
      </w:pPr>
      <w:r>
        <w:t xml:space="preserve"/>
      </w:r>
    </w:p>
    <w:p>
      <w:pPr>
        <w:spacing w:after="100" w:before="100"/>
        <w:jc w:val="both"/>
      </w:pPr>
      <w:r>
        <w:rPr>
          <w:rFonts w:ascii="Arial" w:cs="Arial" w:eastAsia="Arial" w:hAnsi="Arial"/>
          <w:sz w:val="24"/>
          <w:szCs w:val="24"/>
        </w:rPr>
        <w:t xml:space="preserve">Veri kümesi eğitim (%70), doğrulama (%15) ve tahmin (%15) kümelerine ayrılmaktadır. LSTM modelinin ikili tahminler ürettiğini—'1' değerinin beklenen yükseliş trendine, '0' değerinin ise tahmin edilen düşüş trendine işaret ettiğini—özellikle vurgulamak gerekmektedir. Bu ikili tahminler ticaret sinyallerinin temeli olarak hizmet etmekte ve bu sayede modelin piyasa trendlerini yakalamadaki etkinliğinin analiz ve değerlendirmesine zemin hazırlamaktadır. Bu araştırma çerçevesi, LSTM modelinin farklı koşullar ve zamansal diziler altındaki performansının kapsamlı biçimde incelenmesini mümkün kılmakta ve finansal tahmin ve modelleme alanına değerli içgörüler katmaktadır.</w:t>
      </w:r>
    </w:p>
    <w:p>
      <w:pPr>
        <w:spacing w:after="60" w:before="60"/>
      </w:pPr>
      <w:r>
        <w:t xml:space="preserve"/>
      </w:r>
    </w:p>
    <w:p>
      <w:pPr>
        <w:spacing w:after="100" w:before="100"/>
        <w:jc w:val="both"/>
      </w:pPr>
      <w:r>
        <w:rPr>
          <w:rFonts w:ascii="Arial" w:cs="Arial" w:eastAsia="Arial" w:hAnsi="Arial"/>
          <w:sz w:val="24"/>
          <w:szCs w:val="24"/>
        </w:rPr>
        <w:t xml:space="preserve">Ticaret simülasyonu günlük olarak işlemekte; her gün sabit 200 dolarlık bir miktarla işlem başlatmaktadır. İşlemin alım mı yoksa satış mı olacağı, modelin tahminine göre belirlenmektedir. İşlemin kâr veya zararı, günlük kapanış fiyatı değişimlerine göre her gün güncellenmektedir. 1. günde başlayan işlemler 5. günde nakde çevrilmektedir. 2. günde başlayan işlemler 6. günde nakde çevrilmekte ve bu şekilde devam etmektedir. Bu durum, seçilen çıktı uzunluğuyla örtüşmektedir.</w:t>
      </w:r>
    </w:p>
    <w:p>
      <w:pPr>
        <w:spacing w:after="60" w:before="60"/>
      </w:pPr>
      <w:r>
        <w:t xml:space="preserve"/>
      </w:r>
    </w:p>
    <w:p>
      <w:pPr>
        <w:spacing w:after="100" w:before="100"/>
        <w:jc w:val="both"/>
      </w:pPr>
      <w:r>
        <w:rPr>
          <w:rFonts w:ascii="Arial" w:cs="Arial" w:eastAsia="Arial" w:hAnsi="Arial"/>
          <w:sz w:val="24"/>
          <w:szCs w:val="24"/>
        </w:rPr>
        <w:t xml:space="preserve">Başlangıç ticaret bakiyesi 1.000 dolar olarak belirlenmiş olup simülasyon herhangi bir kaldıraç içermemektedir. Bu yaklaşım, rastgeleleştirmeyle ilgili endişeleri gidererek olayların doğru zamansal sıralamasını korurken uygulanabilir bir ticaret simülasyonu sağlamaktadır.</w:t>
      </w:r>
    </w:p>
    <w:p>
      <w:pPr>
        <w:spacing w:after="60" w:before="60"/>
      </w:pPr>
      <w:r>
        <w:t xml:space="preserve"/>
      </w:r>
    </w:p>
    <w:p>
      <w:pPr>
        <w:spacing w:after="100" w:before="100"/>
        <w:jc w:val="both"/>
      </w:pPr>
      <w:r>
        <w:rPr>
          <w:rFonts w:ascii="Arial" w:cs="Arial" w:eastAsia="Arial" w:hAnsi="Arial"/>
          <w:sz w:val="24"/>
          <w:szCs w:val="24"/>
        </w:rPr>
        <w:t xml:space="preserve">LSTM modelinin yanı sıra karşılaştırma için iki temel değer senaryosu ele alınmaktadır. Birinci temel değer, kârı en üst düzeye çıkarmayı hedefleyerek 'gerçek etiketleri' tahmin olarak kullanmayı içermektedir. İkinci temel değer ise sonraki 5 gün için tahmin olarak önceki günün sonucunu kullanarak LSTM modelinin öngörü kapasitesine karşı bir kıyaslama ölçütü sunmaktadır. Bu temel değerler, LSTM modelinin finansal simülasyon bağlamındaki göreli başarısını ölçmek için temel referanslar olarak hizmet etmektedir.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Senaryo</w:t>
            </w:r>
          </w:p>
        </w:tc>
        <w:tc>
          <w:tcPr>
            <w:tcW w:type="dxa" w:w="468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120. Gündeki Bitiş Bakiyesi</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Tahmin Edilen Etiketlere Dayalı Bitiş Bakiyesi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5.772,87 USD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Gerçek Etiketlere Dayalı Bitiş Bakiyesi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14.598,32 USD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Önceki Etiketlere Dayalı Bitiş Bakiyesi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1.196,52 USD</w:t>
            </w:r>
          </w:p>
        </w:tc>
      </w:tr>
    </w:tbl>
    <w:p>
      <w:pPr>
        <w:spacing w:after="80" w:before="80"/>
        <w:jc w:val="center"/>
      </w:pPr>
      <w:r>
        <w:rPr>
          <w:rFonts w:ascii="Arial" w:cs="Arial" w:eastAsia="Arial" w:hAnsi="Arial"/>
          <w:i/>
          <w:iCs/>
          <w:sz w:val="22"/>
          <w:szCs w:val="22"/>
        </w:rPr>
        <w:t xml:space="preserve">Tablo: Ticaret Simülasyonu Sonuçları</w:t>
      </w:r>
    </w:p>
    <w:p>
      <w:pPr>
        <w:spacing w:after="60" w:before="60"/>
      </w:pPr>
      <w:r>
        <w:t xml:space="preserve"/>
      </w:r>
    </w:p>
    <w:p>
      <w:pPr>
        <w:spacing w:after="100" w:before="100"/>
        <w:jc w:val="both"/>
      </w:pPr>
      <w:r>
        <w:rPr>
          <w:rFonts w:ascii="Arial" w:cs="Arial" w:eastAsia="Arial" w:hAnsi="Arial"/>
          <w:sz w:val="24"/>
          <w:szCs w:val="24"/>
        </w:rPr>
        <w:t xml:space="preserve">Tüm işlemlerin bireysel kâr ve zararlarını içeren ayrıntılı görünümü için lütfen Ek F'ye bakınız.</w:t>
      </w:r>
    </w:p>
    <w:p>
      <w:pPr>
        <w:pStyle w:val="Heading2"/>
        <w:spacing w:after="150" w:before="300"/>
      </w:pPr>
      <w:r>
        <w:rPr>
          <w:rFonts w:ascii="Arial" w:cs="Arial" w:eastAsia="Arial" w:hAnsi="Arial"/>
          <w:b/>
          <w:bCs/>
          <w:sz w:val="28"/>
          <w:szCs w:val="28"/>
        </w:rPr>
        <w:t xml:space="preserve">4.6 Modellerin Karşılaştırması</w:t>
      </w:r>
    </w:p>
    <w:p>
      <w:pPr>
        <w:spacing w:after="100" w:before="100"/>
        <w:jc w:val="both"/>
      </w:pPr>
      <w:r>
        <w:rPr>
          <w:rFonts w:ascii="Arial" w:cs="Arial" w:eastAsia="Arial" w:hAnsi="Arial"/>
          <w:sz w:val="24"/>
          <w:szCs w:val="24"/>
        </w:rPr>
        <w:t xml:space="preserve">Tarihsel ve teknik göstergelerle ARIMA, LSTM ve CNN kullanan modeller, yalnızca teknik göstergelere dayanan en güncel LSTM modelinin gerisinde kalmaktadır. Bu durum, LSTM'nin özlü bir özellik kümesiyle başarı kazandığı odaklı bir yaklaşımın üstünlüğünü vurgulamaktadır. Bulgular, özellik seçiminin belirleyici rolünü ön plana çıkarmakta; etkili teknik göstergelerden yararlanan LSTM modelinin daha karmaşık muadillerini geride bıraktığını ortaya koymaktadır. Finansal zaman serisi tahmininde, optimal öngörü performansı için model karmaşıklığı ile özellik ilgisi arasındaki stratejik denge kritik önem taşımaktadır. Aşağıdaki tablo, yukarıdaki açıklamaları destekler nitelikte ARIMA, LSTM ve CNN'nin en iyi modeli için tüm girdi ve çıktı uzunlukları genelinde ortalaması alınmış test doğruluklarını sunmaktadır.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Model</w:t>
            </w:r>
          </w:p>
        </w:tc>
        <w:tc>
          <w:tcPr>
            <w:tcW w:type="dxa" w:w="312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Özellikler</w:t>
            </w:r>
          </w:p>
        </w:tc>
        <w:tc>
          <w:tcPr>
            <w:tcW w:type="dxa" w:w="312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Ortalama Test Doğruluğu</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LSTM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Teknik göstergeler (en güncel yöntem)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0,6693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ARIMA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Teknik göstergeler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0,6665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CNN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Tarihsel ve teknik göstergeler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0,5824</w:t>
            </w:r>
          </w:p>
        </w:tc>
      </w:tr>
    </w:tbl>
    <w:p>
      <w:pPr>
        <w:spacing w:after="80" w:before="80"/>
        <w:jc w:val="center"/>
      </w:pPr>
      <w:r>
        <w:rPr>
          <w:rFonts w:ascii="Arial" w:cs="Arial" w:eastAsia="Arial" w:hAnsi="Arial"/>
          <w:i/>
          <w:iCs/>
          <w:sz w:val="22"/>
          <w:szCs w:val="22"/>
        </w:rPr>
        <w:t xml:space="preserve">Tablo 10: Model başına en iyi performans gösteren özellikler için doğruluk karşılaştırması</w:t>
      </w:r>
    </w:p>
    <w:p>
      <w:pPr>
        <w:spacing w:after="60" w:before="60"/>
      </w:pPr>
      <w:r>
        <w:t xml:space="preserve"/>
      </w:r>
    </w:p>
    <w:p>
      <w:pPr>
        <w:spacing w:after="100" w:before="100"/>
        <w:jc w:val="both"/>
      </w:pPr>
      <w:r>
        <w:rPr>
          <w:rFonts w:ascii="Arial" w:cs="Arial" w:eastAsia="Arial" w:hAnsi="Arial"/>
          <w:sz w:val="24"/>
          <w:szCs w:val="24"/>
        </w:rPr>
        <w:t xml:space="preserve">LSTM modeli; finansal trend tahmininde ARIMA ve CNN modellerini tutarlı biçimde geride bırakmakta ve çeşitli konfigürasyonlar genelinde sağlam performans ortaya koymaktadır. Model, kapanış fiyatlarını, tarihsel trendleri ve teknik göstergeleri tahmin etmede başarı sergileyerek alandaki en güncel yöntem statüsünü doğrulamaktadır. Girdi dizi uzunlukları ve çıktı ufukları genelinde çok yönlü olan LSTM modeli, hem kısa vadeli hem de uzun vadeli trendleri yakalamak için umut verici niteliğini korumaktadır. İstatistiksel açıdan anlamlı sonuçlar, daha yüksek ortalama test doğruluğu ve 2 girdi ile 5 çıktı günlük optimum konfigürasyon; LSTM modelinin finansal zaman serisi tahminindeki güvenilirliğini ve esnekliğini pekiştirerek onu başlıca tercih konumuna taşımaktadır.</w:t>
      </w:r>
    </w:p>
    <w:p>
      <w:r>
        <w:br w:type="page"/>
      </w:r>
    </w:p>
    <w:p>
      <w:pPr>
        <w:pStyle w:val="Heading1"/>
        <w:spacing w:after="200" w:before="400"/>
      </w:pPr>
      <w:r>
        <w:rPr>
          <w:rFonts w:ascii="Arial" w:cs="Arial" w:eastAsia="Arial" w:hAnsi="Arial"/>
          <w:b/>
          <w:bCs/>
          <w:sz w:val="32"/>
          <w:szCs w:val="32"/>
        </w:rPr>
        <w:t xml:space="preserve">5. Tartışma</w:t>
      </w:r>
    </w:p>
    <w:p>
      <w:pPr>
        <w:spacing w:after="100" w:before="100"/>
        <w:jc w:val="both"/>
      </w:pPr>
      <w:r>
        <w:rPr>
          <w:rFonts w:ascii="Arial" w:cs="Arial" w:eastAsia="Arial" w:hAnsi="Arial"/>
          <w:sz w:val="24"/>
          <w:szCs w:val="24"/>
        </w:rPr>
        <w:t xml:space="preserve">Bu tez; finansal zaman serisi tahmininde tarihsel ve teknik göstergeleri bünyesine katarak ARIMA, LSTM ve CNN modellerini değerlendirmeyi amaçlamaktadır. Beklentilerin aksine sonuçlar, yalnızca teknik göstergelerden yararlanan LSTM modelinin tutarlı üstün performansını ortaya koymaktadır. LSTM modeli, kapanış fiyatlarını, tarihsel trendleri ve teknik göstergeleri tahmin etmede başarı sergileyerek ARIMA ve CNN ile karşılaştırıldığında sağlam performans göstermektedir. Tez, LSTM modeli için 2 günlük girdi ve 5 günlük çıktı uzunluğu içeren optimum konfigürasyonu belirlemektedir. Dahası LSTM modeli, NASDAQ100 içindeki tüm bireysel sektörlere genelleme yapabilmektedir. Bu bulgular, finansal trend tahmininde LSTM modelinin baskınlığını gözler önüne sermekte; kapsamlı bir performans anlayışı için çeşitli girdi ve çıktı zaman ufuklarının dikkate alınmasının önemini vurgulamaktadır.</w:t>
      </w:r>
    </w:p>
    <w:p>
      <w:pPr>
        <w:spacing w:after="60" w:before="60"/>
      </w:pPr>
      <w:r>
        <w:t xml:space="preserve"/>
      </w:r>
    </w:p>
    <w:p>
      <w:pPr>
        <w:spacing w:after="100" w:before="100"/>
        <w:jc w:val="both"/>
      </w:pPr>
      <w:r>
        <w:rPr>
          <w:rFonts w:ascii="Arial" w:cs="Arial" w:eastAsia="Arial" w:hAnsi="Arial"/>
          <w:sz w:val="24"/>
          <w:szCs w:val="24"/>
        </w:rPr>
        <w:t xml:space="preserve">Bu tez, Namin ve Namin (2018) ile Balaji ve ark. (2018) gibi çalışmaların içgörüleri üzerine inşa ederek hisse senedi fiyatı tahmininde LSTM modellerinin anlaşılmasını derinleştirmektedir. Bulgular, özellikle kısa vadeli tahminlerde LSTM'nin sağlamlığını vurgulamakta ve daha kısa ufuklara odaklanan literatürdeki bir boşluğu gidermektedir. Çalışma, kısa vadeli ticaret için LSTM'nin etkinliğini desteklemekle birlikte modelimiz Nabipour ve ark.'nın (2020) %84,90 doğruluk oranının gerisinde kalmaktadır; bu durum muhtemelen teknik göstergelerdeki farklılıklara ve ikili kodlama yaklaşımlarına bağlıdır. Nelson ve ark.'nın (2017) çalışmasını genişleterek bu araştırma, LSTM'nin çeşitli finansal konfigürasyonlardaki uyum yeteneğini ortaya koymakta ve LSTM modellerini NASDAQ100 içindeki farklı sektörler genelinde değerlendirerek ağırlıklı olarak genel doğruluk karşılaştırmalarına odaklanan literatüre özgün bir bakış açısı kazandırmaktadır.</w:t>
      </w:r>
    </w:p>
    <w:p>
      <w:pPr>
        <w:spacing w:after="60" w:before="60"/>
      </w:pPr>
      <w:r>
        <w:t xml:space="preserve"/>
      </w:r>
    </w:p>
    <w:p>
      <w:pPr>
        <w:spacing w:after="100" w:before="100"/>
        <w:jc w:val="both"/>
      </w:pPr>
      <w:r>
        <w:rPr>
          <w:rFonts w:ascii="Arial" w:cs="Arial" w:eastAsia="Arial" w:hAnsi="Arial"/>
          <w:sz w:val="24"/>
          <w:szCs w:val="24"/>
        </w:rPr>
        <w:t xml:space="preserve">Bilimsel açıdan tez; teknik ve tarihsel göstergeleri LSTM modellemesine entegre ederek hisse senedi tahminini ilerletmekte ve özellik ilgisi ile tahmin doğruluğu üzerine kapsamlı bir bakış açısı sunmaktadır. Yerleşik çalışmaları esas alarak (Namin ve Namin, 2018; Balaji ve ark., 2018; Nabipour ve ark., 2020) bu yaklaşım, tahmin modellerindeki zamansal dinamiklerin anlaşılmasını güçlendirmek amacıyla analizi genişletmektedir. Toplumsal açıdan tez; günlük yatırımcıların yaşadığı yüksek kayıp oranı sorununu ele almakta ve finansal ticaretteki duygusal karar almayı azaltmayı hedeflemektedir (Barber ve ark., 2014). LSTM ve ARIMA gibi ileri veri odaklı modelleri kullanarak bireysel yatırımcıları daha bilinçli kararlar almaya ve ticaret stratejilerini geliştirmeye yetkilendiren pratik bir çözüm sunmaktadır. Bunun yanı sıra NASDAQ100 içindeki farklı segmentlerde LSTM, ARIMA ve 1D-CNN modellerinin analizi, mevcut literatürdeki kayda değer bir boşluğu doldurmakta ve gelişen finansal piyasalar ortamında hem araştırmacılar hem de uygulayıcılar için güncel içgörüler sunmaktadır.</w:t>
      </w:r>
    </w:p>
    <w:p>
      <w:r>
        <w:br w:type="page"/>
      </w:r>
    </w:p>
    <w:p>
      <w:pPr>
        <w:pStyle w:val="Heading1"/>
        <w:spacing w:after="200" w:before="400"/>
      </w:pPr>
      <w:r>
        <w:rPr>
          <w:rFonts w:ascii="Arial" w:cs="Arial" w:eastAsia="Arial" w:hAnsi="Arial"/>
          <w:b/>
          <w:bCs/>
          <w:sz w:val="32"/>
          <w:szCs w:val="32"/>
        </w:rPr>
        <w:t xml:space="preserve">6. Sınırlamalar ve Gelecekteki Araştırmalar</w:t>
      </w:r>
    </w:p>
    <w:p>
      <w:pPr>
        <w:spacing w:after="100" w:before="100"/>
        <w:jc w:val="both"/>
      </w:pPr>
      <w:r>
        <w:rPr>
          <w:rFonts w:ascii="Arial" w:cs="Arial" w:eastAsia="Arial" w:hAnsi="Arial"/>
          <w:sz w:val="24"/>
          <w:szCs w:val="24"/>
        </w:rPr>
        <w:t xml:space="preserve">Tezde belirlenen bir sınırlama, kullanılan kısa girdi uzunlukları nedeniyle pek çok modelde yaşanan aşırı öğrenmedir. Aşırı öğrenme, bir modelin gerçek kalıplar yerine gürültüyü de yakalayabilecek biçimde aşırı derecede eğitim verisine uyarlandığı durumlarda ortaya çıkmaktadır. Bu sorunu gidermek amacıyla tez, çapraz doğrulama ve dikkatli parametre ayarlaması gibi standart uygulamaları hayata geçirmiştir. Gelecekteki araştırmalar; kısa girdi uzunluklarıyla ilişkili aşırı öğrenme risklerini daha kapsamlı biçimde azaltmak için ileri düzenleştirme tekniklerini ya da topluluk yöntemlerini araştırabilir. Bir diğer husus, kullanılan tarihsel hisse senedi verilerinin kısıtlamalarıdır. Finansal piyasaların dinamik yapısı belirsizlikler doğurmakta olup beklenmedik olaylar veya piyasa anomalileri model performansını olumsuz etkileyebilir. Gelecekteki çalışmalar, finansal piyasaları etkileyen piyasa şoklarını da entegre ederek daha kapsamlı ve çeşitli bir veri kümesiyle sağlamlığı artırabilir. Tez, kısa vadeli hisse senedi trend tahmini için belirli girdi ve çıktı uzunluklarıyla sınırlı kalmakta; seçilen uzunlukların kısıtlamaları alternatif konfigürasyonların araştırılmasındaki potansiyeli açıkça gözler önüne sermektedir.</w:t>
      </w:r>
    </w:p>
    <w:p>
      <w:pPr>
        <w:spacing w:after="60" w:before="60"/>
      </w:pPr>
      <w:r>
        <w:t xml:space="preserve"/>
      </w:r>
    </w:p>
    <w:p>
      <w:pPr>
        <w:spacing w:after="100" w:before="100"/>
        <w:jc w:val="both"/>
      </w:pPr>
      <w:r>
        <w:rPr>
          <w:rFonts w:ascii="Arial" w:cs="Arial" w:eastAsia="Arial" w:hAnsi="Arial"/>
          <w:sz w:val="24"/>
          <w:szCs w:val="24"/>
        </w:rPr>
        <w:t xml:space="preserve">Gelecekteki araştırmalar; gelişmiş model performansı için özellik seçimine rehberlik edecek, tahminlere tutarlı biçimde katkıda bulunan özgül teknik göstergelerin belirlenmesine odaklanmalıdır. Çeşitli göstergelerin ve bunların tahmin doğruluğu üzerindeki etkisinin sistematik analizi, değerli içgörüler sunmak açısından kritik önem taşımaktadır. Model konfigürasyonlarını iyileştirmek için optimum çıktı döneminin araştırılması zorunludur; gelecekteki çalışmalar, tahmin doğruluğunun durağanlaştığı ya da gerilediği noktayı sistematik biçimde araştırarak uygun tahmin ufuklarının seçimine yön verecektir. Özellikle kısa girdi uzunluklarında aşırı öğrenme endişelerinin giderilmesi süregelen bir odak noktası olmayı sürdürmekte; düzenleştirme yöntemleri veya topluluk yaklaşımları gibi ileri tekniklerin araştırılması model genellemesini iyileştirebilir ve aşırı öğrenme risklerini azaltabilir. LSTM, ARIMA ve 1D-CNN modellerinin ötesinde, gelecekteki araştırmalar alternatif mimarileri—ortaya çıkan modeller ya da hibrit yaklaşımlar dahil—araştırabilir; bu yaklaşımlar finansal zaman serisi tahmininde özgün bakış açıları sunabilir. Bunun yanı sıra tezi gerçek zamanlı uygulamalara genişletmek pratik sonuçlar açısından büyük önem taşımakta; evrimleşen piyasa koşullarına uyum sağlayabilen ve anlık verileri bünyesine katabilen modeller geliştirerek teorik içgörüler ile yatırımcı ve trader'lar için uygulanabilir stratejiler arasındaki uçurumu kapatmaktadır.</w:t>
      </w:r>
    </w:p>
    <w:p>
      <w:r>
        <w:br w:type="page"/>
      </w:r>
    </w:p>
    <w:p>
      <w:pPr>
        <w:pStyle w:val="Heading1"/>
        <w:spacing w:after="200" w:before="400"/>
      </w:pPr>
      <w:r>
        <w:rPr>
          <w:rFonts w:ascii="Arial" w:cs="Arial" w:eastAsia="Arial" w:hAnsi="Arial"/>
          <w:b/>
          <w:bCs/>
          <w:sz w:val="32"/>
          <w:szCs w:val="32"/>
        </w:rPr>
        <w:t xml:space="preserve">7. Sonuç</w:t>
      </w:r>
    </w:p>
    <w:p>
      <w:pPr>
        <w:spacing w:after="100" w:before="100"/>
        <w:jc w:val="both"/>
      </w:pPr>
      <w:r>
        <w:rPr>
          <w:rFonts w:ascii="Arial" w:cs="Arial" w:eastAsia="Arial" w:hAnsi="Arial"/>
          <w:sz w:val="24"/>
          <w:szCs w:val="24"/>
        </w:rPr>
        <w:t xml:space="preserve">Kısa vadeli fiyat trendlerinin tahmininde ARIMA, LSTM ve 1D-CNN modellerinin karşılaştırmalı analizi, optimal öngörü performansı için yalnızca teknik göstergelerden yararlanan LSTM'nin üstünlüğünü ortaya koymaktadır.</w:t>
      </w:r>
    </w:p>
    <w:p>
      <w:pPr>
        <w:spacing w:after="60" w:before="60"/>
      </w:pPr>
      <w:r>
        <w:t xml:space="preserve"/>
      </w:r>
    </w:p>
    <w:p>
      <w:pPr>
        <w:spacing w:after="80" w:before="150"/>
      </w:pPr>
      <w:r>
        <w:rPr>
          <w:rFonts w:ascii="Arial" w:cs="Arial" w:eastAsia="Arial" w:hAnsi="Arial"/>
          <w:b/>
          <w:bCs/>
          <w:sz w:val="24"/>
          <w:szCs w:val="24"/>
        </w:rPr>
        <w:t xml:space="preserve">Tarihsel ve teknik göstergeler dahil olmak üzere çeşitli gösterge türleri analize entegre edildiğinde ARIMA, LSTM ve 1D-CNN modellerinin doğruluğu nasıl farklılık göstermektedir?</w:t>
      </w:r>
    </w:p>
    <w:p>
      <w:pPr>
        <w:spacing w:after="100" w:before="100"/>
        <w:jc w:val="both"/>
      </w:pPr>
      <w:r>
        <w:rPr>
          <w:rFonts w:ascii="Arial" w:cs="Arial" w:eastAsia="Arial" w:hAnsi="Arial"/>
          <w:sz w:val="24"/>
          <w:szCs w:val="24"/>
        </w:rPr>
        <w:t xml:space="preserve">Tez; hem tarihsel hem de teknik göstergeleri kapsayan çeşitli gösterge türleri analize entegre edildiğinde LSTM modelinin ARIMA ve 1D-CNN'yi tutarlı biçimde geride bıraktığını ortaya koymaktadır. Beklentilerin aksine yalnızca teknik göstergelerden yararlanan LSTM, finansal zaman serilerinin—özellikle kapanış fiyatlarının, tarihsel trendlerin ve teknik göstergelerin—tahmininde üstün öngörü doğruluğu sergilemektedir.</w:t>
      </w:r>
    </w:p>
    <w:p>
      <w:pPr>
        <w:spacing w:after="60" w:before="60"/>
      </w:pPr>
      <w:r>
        <w:t xml:space="preserve"/>
      </w:r>
    </w:p>
    <w:p>
      <w:pPr>
        <w:spacing w:after="80" w:before="150"/>
      </w:pPr>
      <w:r>
        <w:rPr>
          <w:rFonts w:ascii="Arial" w:cs="Arial" w:eastAsia="Arial" w:hAnsi="Arial"/>
          <w:b/>
          <w:bCs/>
          <w:sz w:val="24"/>
          <w:szCs w:val="24"/>
        </w:rPr>
        <w:t xml:space="preserve">2 günden 6 güne kadar uzanan girdi zaman ufuklarındaki değişim, ARIMA, LSTM ve 1D-CNN modellerinin karşılaştırılmasında tahmin doğruluğunu nasıl etkilemektedir?</w:t>
      </w:r>
    </w:p>
    <w:p>
      <w:pPr>
        <w:spacing w:after="100" w:before="100"/>
        <w:jc w:val="both"/>
      </w:pPr>
      <w:r>
        <w:rPr>
          <w:rFonts w:ascii="Arial" w:cs="Arial" w:eastAsia="Arial" w:hAnsi="Arial"/>
          <w:sz w:val="24"/>
          <w:szCs w:val="24"/>
        </w:rPr>
        <w:t xml:space="preserve">ARIMA, LSTM ve 1D-CNN modelleri için 2 günden 6 güne kadar uzanan girdi zaman ufuklarındaki değişim sistematik biçimde değerlendirilmektedir. Bulgular, farklı girdi zaman ufuklarının göz önünde bulundurulmasının önemini vurgulamakta; LSTM modeli için 2 günlük girdi uzunluğuyla optimum konfigürasyonu ortaya koymaktadır. Bu değişim, modellerin tahmin doğruluğunu belirgin biçimde etkileyerek LSTM'nin farklı zaman ufukları genelindeki uyum yeteneğini ve sağlamlığını daha da pekiştirmektedir.</w:t>
      </w:r>
    </w:p>
    <w:p>
      <w:pPr>
        <w:spacing w:after="60" w:before="60"/>
      </w:pPr>
      <w:r>
        <w:t xml:space="preserve"/>
      </w:r>
    </w:p>
    <w:p>
      <w:pPr>
        <w:spacing w:after="80" w:before="150"/>
      </w:pPr>
      <w:r>
        <w:rPr>
          <w:rFonts w:ascii="Arial" w:cs="Arial" w:eastAsia="Arial" w:hAnsi="Arial"/>
          <w:b/>
          <w:bCs/>
          <w:sz w:val="24"/>
          <w:szCs w:val="24"/>
        </w:rPr>
        <w:t xml:space="preserve">1 günden 5 güne kadar uzanan çıktı zaman ufuklarındaki ayarlamalar ARIMA, LSTM ve 1D-CNN modellerinin doğruluğunu nasıl etkilemektedir?</w:t>
      </w:r>
    </w:p>
    <w:p>
      <w:pPr>
        <w:spacing w:after="100" w:before="100"/>
        <w:jc w:val="both"/>
      </w:pPr>
      <w:r>
        <w:rPr>
          <w:rFonts w:ascii="Arial" w:cs="Arial" w:eastAsia="Arial" w:hAnsi="Arial"/>
          <w:sz w:val="24"/>
          <w:szCs w:val="24"/>
        </w:rPr>
        <w:t xml:space="preserve">ARIMA, LSTM ve 1D-CNN modelleri için 1 günden 5 güne kadar uzanan çıktı zaman ufuklarındaki ayarlamalar araştırılmaktadır. Tez; LSTM modelinin çeşitli çıktı zaman ufukları genelinde üstün performansını koruduğunu belirlemekte ve kısa vadeli tahminlerdeki etkinliğini gözler önüne sermektedir. Bu analiz, modelin farklı zamansal aralıklar için doğru tahminler üretme ve uyum sağlama yeteneğine dair içgörüler sunmaktadır.</w:t>
      </w:r>
    </w:p>
    <w:p>
      <w:pPr>
        <w:spacing w:after="60" w:before="60"/>
      </w:pPr>
      <w:r>
        <w:t xml:space="preserve"/>
      </w:r>
    </w:p>
    <w:p>
      <w:pPr>
        <w:spacing w:after="80" w:before="150"/>
      </w:pPr>
      <w:r>
        <w:rPr>
          <w:rFonts w:ascii="Arial" w:cs="Arial" w:eastAsia="Arial" w:hAnsi="Arial"/>
          <w:b/>
          <w:bCs/>
          <w:sz w:val="24"/>
          <w:szCs w:val="24"/>
        </w:rPr>
        <w:t xml:space="preserve">Tahmin edilen hisse senedi fiyat trendlerinin belirli sektörlere bölünmesi, optimum modelin tahmin kesinliğini nasıl etkilemektedir?</w:t>
      </w:r>
    </w:p>
    <w:p>
      <w:pPr>
        <w:spacing w:after="100" w:before="100"/>
        <w:jc w:val="both"/>
      </w:pPr>
      <w:r>
        <w:rPr>
          <w:rFonts w:ascii="Arial" w:cs="Arial" w:eastAsia="Arial" w:hAnsi="Arial"/>
          <w:sz w:val="24"/>
          <w:szCs w:val="24"/>
        </w:rPr>
        <w:t xml:space="preserve">ARIMA, LSTM ve 1D-CNN modellerinin doğruluğu; tahmin edilen hisse senedi fiyatı trendlerinin NASDAQ100 içindeki belirli sektörlere bölünmesi bağlamında değerlendirilmektedir. Çalışma; LSTM modelinin tüm bireysel sektörler genelinde genelleme yapabildiğini ortaya koyarak finansal trend tahminindeki baskınlığını doğrulamaktadır. Bu sektöre özgü analiz, ağırlıklı olarak genel doğruluk karşılaştırmalarına odaklanan literatüre özgün bir bakış açısı kazandırarak önemli katkılar sunmaktadır.</w:t>
      </w:r>
    </w:p>
    <w:p>
      <w:pPr>
        <w:spacing w:after="60" w:before="60"/>
      </w:pPr>
      <w:r>
        <w:t xml:space="preserve"/>
      </w:r>
    </w:p>
    <w:p>
      <w:pPr>
        <w:spacing w:after="100" w:before="100"/>
        <w:jc w:val="both"/>
      </w:pPr>
      <w:r>
        <w:rPr>
          <w:rFonts w:ascii="Arial" w:cs="Arial" w:eastAsia="Arial" w:hAnsi="Arial"/>
          <w:sz w:val="24"/>
          <w:szCs w:val="24"/>
        </w:rPr>
        <w:t xml:space="preserve">Çalışma, model basitliği ile özellik ilgisi arasındaki dengeyi ön plana çıkarmakta ve uygulayıcılar ile araştırmacılar için değerli rehberlik sağlamaktadır. Belirlenen optimum konfigürasyon ve geliştirilmiş öngörü kapasiteleri; dinamik finansal piyasalarda tahmin modelleri için pratik yönergeler sunmakta ve teknik göstergelere odaklanarak LSTM modelinin üstünlüğünü yeniden teyit etmektedir.</w:t>
      </w:r>
    </w:p>
    <w:p>
      <w:r>
        <w:br w:type="page"/>
      </w:r>
    </w:p>
    <w:p>
      <w:pPr>
        <w:pStyle w:val="Heading1"/>
        <w:spacing w:after="200" w:before="400"/>
      </w:pPr>
      <w:r>
        <w:rPr>
          <w:rFonts w:ascii="Arial" w:cs="Arial" w:eastAsia="Arial" w:hAnsi="Arial"/>
          <w:b/>
          <w:bCs/>
          <w:sz w:val="32"/>
          <w:szCs w:val="32"/>
        </w:rPr>
        <w:t xml:space="preserve">Kaynakça</w:t>
      </w:r>
    </w:p>
    <w:p>
      <w:pPr>
        <w:spacing w:after="100" w:before="100"/>
        <w:jc w:val="both"/>
      </w:pPr>
      <w:r>
        <w:rPr>
          <w:rFonts w:ascii="Arial" w:cs="Arial" w:eastAsia="Arial" w:hAnsi="Arial"/>
          <w:sz w:val="24"/>
          <w:szCs w:val="24"/>
        </w:rPr>
        <w:t xml:space="preserve">Abadi, M., ve ark. (2015). TensorFlow: Large-Scale Machine Learning on Heterogeneous Distributed Systems. Google Research.</w:t>
      </w:r>
    </w:p>
    <w:p>
      <w:pPr>
        <w:spacing w:after="100" w:before="100"/>
        <w:jc w:val="both"/>
      </w:pPr>
      <w:r>
        <w:rPr>
          <w:rFonts w:ascii="Arial" w:cs="Arial" w:eastAsia="Arial" w:hAnsi="Arial"/>
          <w:sz w:val="24"/>
          <w:szCs w:val="24"/>
        </w:rPr>
        <w:t xml:space="preserve">Adewumi, A., Adebiyi, A. A., ve Ayo, C. K. (2014). Stock Price Prediction Using the ARIMA Model. 16th International Conference on Computer Modelling and Simulation, 1-7.</w:t>
      </w:r>
    </w:p>
    <w:p>
      <w:pPr>
        <w:spacing w:after="100" w:before="100"/>
        <w:jc w:val="both"/>
      </w:pPr>
      <w:r>
        <w:rPr>
          <w:rFonts w:ascii="Arial" w:cs="Arial" w:eastAsia="Arial" w:hAnsi="Arial"/>
          <w:sz w:val="24"/>
          <w:szCs w:val="24"/>
        </w:rPr>
        <w:t xml:space="preserve">Bai, S., ve Kong, K. (2018). Oil prices, stock returns, and exchange rates: Empirical evidence from China and the United States. The North American Journal of Economics and Finance, 12-33.</w:t>
      </w:r>
    </w:p>
    <w:p>
      <w:pPr>
        <w:spacing w:after="100" w:before="100"/>
        <w:jc w:val="both"/>
      </w:pPr>
      <w:r>
        <w:rPr>
          <w:rFonts w:ascii="Arial" w:cs="Arial" w:eastAsia="Arial" w:hAnsi="Arial"/>
          <w:sz w:val="24"/>
          <w:szCs w:val="24"/>
        </w:rPr>
        <w:t xml:space="preserve">Balaji, A. J., Ram, D. H., ve Nair, B. B. (2018). Applicability of Deep Learning Models for Stock Price Forecasting An Empirical Study on BANKEX Data. Procedia Computer Science, 947-953.</w:t>
      </w:r>
    </w:p>
    <w:p>
      <w:pPr>
        <w:spacing w:after="100" w:before="100"/>
        <w:jc w:val="both"/>
      </w:pPr>
      <w:r>
        <w:rPr>
          <w:rFonts w:ascii="Arial" w:cs="Arial" w:eastAsia="Arial" w:hAnsi="Arial"/>
          <w:sz w:val="24"/>
          <w:szCs w:val="24"/>
        </w:rPr>
        <w:t xml:space="preserve">Banerjee, M., ve Garg, V. (2022). A state-of-the-art of stock market prediction using neural network in recent years. Proceedings of the international conference on computational intelligence.</w:t>
      </w:r>
    </w:p>
    <w:p>
      <w:pPr>
        <w:spacing w:after="100" w:before="100"/>
        <w:jc w:val="both"/>
      </w:pPr>
      <w:r>
        <w:rPr>
          <w:rFonts w:ascii="Arial" w:cs="Arial" w:eastAsia="Arial" w:hAnsi="Arial"/>
          <w:sz w:val="24"/>
          <w:szCs w:val="24"/>
        </w:rPr>
        <w:t xml:space="preserve">Barber, B. M., Lee, Y.-T., Liu, Y.-J., ve Odean, T. (2014). The cross-section of speculator skill: Evidence from day trading. Journal of Financial Markets, 1-24.</w:t>
      </w:r>
    </w:p>
    <w:p>
      <w:pPr>
        <w:spacing w:after="100" w:before="100"/>
        <w:jc w:val="both"/>
      </w:pPr>
      <w:r>
        <w:rPr>
          <w:rFonts w:ascii="Arial" w:cs="Arial" w:eastAsia="Arial" w:hAnsi="Arial"/>
          <w:sz w:val="24"/>
          <w:szCs w:val="24"/>
        </w:rPr>
        <w:t xml:space="preserve">Borovkova, S., ve Tsiamas, I. (2019). An ensemble of LSTM neural networks for high-frequency stock market classification. Journal of Forecasting, 600-619.</w:t>
      </w:r>
    </w:p>
    <w:p>
      <w:pPr>
        <w:spacing w:after="100" w:before="100"/>
        <w:jc w:val="both"/>
      </w:pPr>
      <w:r>
        <w:rPr>
          <w:rFonts w:ascii="Arial" w:cs="Arial" w:eastAsia="Arial" w:hAnsi="Arial"/>
          <w:sz w:val="24"/>
          <w:szCs w:val="24"/>
        </w:rPr>
        <w:t xml:space="preserve">Caginalp, G., ve Constantine, G. (1995). Statistical inference and modelling of momentum in stock prices. Applied Mathematical Finance.</w:t>
      </w:r>
    </w:p>
    <w:p>
      <w:pPr>
        <w:spacing w:after="100" w:before="100"/>
        <w:jc w:val="both"/>
      </w:pPr>
      <w:r>
        <w:rPr>
          <w:rFonts w:ascii="Arial" w:cs="Arial" w:eastAsia="Arial" w:hAnsi="Arial"/>
          <w:sz w:val="24"/>
          <w:szCs w:val="24"/>
        </w:rPr>
        <w:t xml:space="preserve">Chen, S., ve Ge, L. (2019). Exploring the attention mechanism in LSTM-based Hong Kong stock price movement prediction. Quantitative Finance, 1507-1515.</w:t>
      </w:r>
    </w:p>
    <w:p>
      <w:pPr>
        <w:spacing w:after="100" w:before="100"/>
        <w:jc w:val="both"/>
      </w:pPr>
      <w:r>
        <w:rPr>
          <w:rFonts w:ascii="Arial" w:cs="Arial" w:eastAsia="Arial" w:hAnsi="Arial"/>
          <w:sz w:val="24"/>
          <w:szCs w:val="24"/>
        </w:rPr>
        <w:t xml:space="preserve">Chollet F., ve diğerleri. (2023). Keras. GitHub: https://github.com/fchollet/keras</w:t>
      </w:r>
    </w:p>
    <w:p>
      <w:pPr>
        <w:spacing w:after="100" w:before="100"/>
        <w:jc w:val="both"/>
      </w:pPr>
      <w:r>
        <w:rPr>
          <w:rFonts w:ascii="Arial" w:cs="Arial" w:eastAsia="Arial" w:hAnsi="Arial"/>
          <w:sz w:val="24"/>
          <w:szCs w:val="24"/>
        </w:rPr>
        <w:t xml:space="preserve">CNN: Business. (2023). Fear &amp; Greed Index. CNN: Business: https://edition.cnn.com/markets/fear-and-greed</w:t>
      </w:r>
    </w:p>
    <w:p>
      <w:pPr>
        <w:spacing w:after="100" w:before="100"/>
        <w:jc w:val="both"/>
      </w:pPr>
      <w:r>
        <w:rPr>
          <w:rFonts w:ascii="Arial" w:cs="Arial" w:eastAsia="Arial" w:hAnsi="Arial"/>
          <w:sz w:val="24"/>
          <w:szCs w:val="24"/>
        </w:rPr>
        <w:t xml:space="preserve">Di Persio, L., ve Honchar, O. (2016). Artificial Neural Networks architectures for stock price prediction: comparisons and applications. INTERNATIONAL JOURNAL OF CIRCUITS, SYSTEMS AND SIGNAL PROCESSING, 1-11.</w:t>
      </w:r>
    </w:p>
    <w:p>
      <w:pPr>
        <w:spacing w:after="100" w:before="100"/>
        <w:jc w:val="both"/>
      </w:pPr>
      <w:r>
        <w:rPr>
          <w:rFonts w:ascii="Arial" w:cs="Arial" w:eastAsia="Arial" w:hAnsi="Arial"/>
          <w:sz w:val="24"/>
          <w:szCs w:val="24"/>
        </w:rPr>
        <w:t xml:space="preserve">Dong, H. (2022). Stock Price Prediction Using ARIMA and LSTM. 2022 6th Annual International Conference on Data Science and Business Analytics (ICDSBA), 1-7.</w:t>
      </w:r>
    </w:p>
    <w:p>
      <w:pPr>
        <w:spacing w:after="100" w:before="100"/>
        <w:jc w:val="both"/>
      </w:pPr>
      <w:r>
        <w:rPr>
          <w:rFonts w:ascii="Arial" w:cs="Arial" w:eastAsia="Arial" w:hAnsi="Arial"/>
          <w:sz w:val="24"/>
          <w:szCs w:val="24"/>
        </w:rPr>
        <w:t xml:space="preserve">Fama, E. (1970). Efficient capital markets: A review of theory and empirical work. Journal of Finance, 383-417.</w:t>
      </w:r>
    </w:p>
    <w:p>
      <w:pPr>
        <w:spacing w:after="100" w:before="100"/>
        <w:jc w:val="both"/>
      </w:pPr>
      <w:r>
        <w:rPr>
          <w:rFonts w:ascii="Arial" w:cs="Arial" w:eastAsia="Arial" w:hAnsi="Arial"/>
          <w:sz w:val="24"/>
          <w:szCs w:val="24"/>
        </w:rPr>
        <w:t xml:space="preserve">Gomez-Martinez, R., Medrano-Garcia, M., ve Prado Roman, C. (2023). CNN fear and greed index as trend signal in global financial markets. Universidad Rey Juan Carlos de Madrid.</w:t>
      </w:r>
    </w:p>
    <w:p>
      <w:pPr>
        <w:spacing w:after="100" w:before="100"/>
        <w:jc w:val="both"/>
      </w:pPr>
      <w:r>
        <w:rPr>
          <w:rFonts w:ascii="Arial" w:cs="Arial" w:eastAsia="Arial" w:hAnsi="Arial"/>
          <w:sz w:val="24"/>
          <w:szCs w:val="24"/>
        </w:rPr>
        <w:t xml:space="preserve">Gunduz, H., Yaslan, Y., ve Cataltepe, Z. (2017). Intraday prediction of Borsa Istanbul using convolutional neural networks and feature correlations. Knowledge-Based Systems, 138-148.</w:t>
      </w:r>
    </w:p>
    <w:p>
      <w:pPr>
        <w:spacing w:after="100" w:before="100"/>
        <w:jc w:val="both"/>
      </w:pPr>
      <w:r>
        <w:rPr>
          <w:rFonts w:ascii="Arial" w:cs="Arial" w:eastAsia="Arial" w:hAnsi="Arial"/>
          <w:sz w:val="24"/>
          <w:szCs w:val="24"/>
        </w:rPr>
        <w:t xml:space="preserve">Hassanpour, H. (2020). Evaluation of Deep Neural Network in Directional Prediction of Forex Market. TechRxiv.</w:t>
      </w:r>
    </w:p>
    <w:p>
      <w:pPr>
        <w:spacing w:after="100" w:before="100"/>
        <w:jc w:val="both"/>
      </w:pPr>
      <w:r>
        <w:rPr>
          <w:rFonts w:ascii="Arial" w:cs="Arial" w:eastAsia="Arial" w:hAnsi="Arial"/>
          <w:sz w:val="24"/>
          <w:szCs w:val="24"/>
        </w:rPr>
        <w:t xml:space="preserve">Hunter, J. (2007). Matplotlib: A 2D Graphics Environment. Computing in Science &amp; Engineering, 90-95.</w:t>
      </w:r>
    </w:p>
    <w:p>
      <w:pPr>
        <w:spacing w:after="100" w:before="100"/>
        <w:jc w:val="both"/>
      </w:pPr>
      <w:r>
        <w:rPr>
          <w:rFonts w:ascii="Arial" w:cs="Arial" w:eastAsia="Arial" w:hAnsi="Arial"/>
          <w:sz w:val="24"/>
          <w:szCs w:val="24"/>
        </w:rPr>
        <w:t xml:space="preserve">Investing.com. (2023). Crude Oil WTI Futures Historical Data. Investing.com: https://www.investing.com/commodities/crude-oil-historical-data</w:t>
      </w:r>
    </w:p>
    <w:p>
      <w:pPr>
        <w:spacing w:after="100" w:before="100"/>
        <w:jc w:val="both"/>
      </w:pPr>
      <w:r>
        <w:rPr>
          <w:rFonts w:ascii="Arial" w:cs="Arial" w:eastAsia="Arial" w:hAnsi="Arial"/>
          <w:sz w:val="24"/>
          <w:szCs w:val="24"/>
        </w:rPr>
        <w:t xml:space="preserve">Johnson, J. (2023). The Relationship Between CNN Money's US Stock Market Fear and Greed Index and US Stock Indices. Johnson Research, 1-21.</w:t>
      </w:r>
    </w:p>
    <w:p>
      <w:pPr>
        <w:spacing w:after="100" w:before="100"/>
        <w:jc w:val="both"/>
      </w:pPr>
      <w:r>
        <w:rPr>
          <w:rFonts w:ascii="Arial" w:cs="Arial" w:eastAsia="Arial" w:hAnsi="Arial"/>
          <w:sz w:val="24"/>
          <w:szCs w:val="24"/>
        </w:rPr>
        <w:t xml:space="preserve">Kang, W., Ratti, R., ve Yoon, K. (2015). The impact of oil price shocks and the stock market return and volatility relationship. Journal of International Financial Markets, Institutions and Money, 41-54.</w:t>
      </w:r>
    </w:p>
    <w:p>
      <w:pPr>
        <w:spacing w:after="100" w:before="100"/>
        <w:jc w:val="both"/>
      </w:pPr>
      <w:r>
        <w:rPr>
          <w:rFonts w:ascii="Arial" w:cs="Arial" w:eastAsia="Arial" w:hAnsi="Arial"/>
          <w:sz w:val="24"/>
          <w:szCs w:val="24"/>
        </w:rPr>
        <w:t xml:space="preserve">Kaur, A., Bhadauria, M., ve Monika, M. (2022). Heuristic approach for forecasting stock price using LSTM and technical indicators. 2022 4th International Conference on Artificial Intelligence and Speech Technology (AIST), 1-6.</w:t>
      </w:r>
    </w:p>
    <w:p>
      <w:pPr>
        <w:spacing w:after="100" w:before="100"/>
        <w:jc w:val="both"/>
      </w:pPr>
      <w:r>
        <w:rPr>
          <w:rFonts w:ascii="Arial" w:cs="Arial" w:eastAsia="Arial" w:hAnsi="Arial"/>
          <w:sz w:val="24"/>
          <w:szCs w:val="24"/>
        </w:rPr>
        <w:t xml:space="preserve">Khashei, M., ve Hajirahimi, Z. (2019). A comparative study of series arima/mlp hybrid models for stock price forecasting. Communications in Statistics-Simulation and Computation, 2625-2640.</w:t>
      </w:r>
    </w:p>
    <w:p>
      <w:pPr>
        <w:spacing w:after="100" w:before="100"/>
        <w:jc w:val="both"/>
      </w:pPr>
      <w:r>
        <w:rPr>
          <w:rFonts w:ascii="Arial" w:cs="Arial" w:eastAsia="Arial" w:hAnsi="Arial"/>
          <w:sz w:val="24"/>
          <w:szCs w:val="24"/>
        </w:rPr>
        <w:t xml:space="preserve">Kim, M., ve Sayama, H. (2017). Predicting stock market movements using network science: an information theoretic approach. Applied Network Science, 2:35.</w:t>
      </w:r>
    </w:p>
    <w:p>
      <w:pPr>
        <w:spacing w:after="100" w:before="100"/>
        <w:jc w:val="both"/>
      </w:pPr>
      <w:r>
        <w:rPr>
          <w:rFonts w:ascii="Arial" w:cs="Arial" w:eastAsia="Arial" w:hAnsi="Arial"/>
          <w:sz w:val="24"/>
          <w:szCs w:val="24"/>
        </w:rPr>
        <w:t xml:space="preserve">Kobiela, D., Krefta, D., Krol, W., ve Weichbroth, P. (2022). ARIMA vs LSTM on NASDAQ stock exchange data. 26th International Conference on Knowledge-based and Intelligent Information &amp; Engineering Systems (KES 2022), 3830-3839.</w:t>
      </w:r>
    </w:p>
    <w:p>
      <w:pPr>
        <w:spacing w:after="100" w:before="100"/>
        <w:jc w:val="both"/>
      </w:pPr>
      <w:r>
        <w:rPr>
          <w:rFonts w:ascii="Arial" w:cs="Arial" w:eastAsia="Arial" w:hAnsi="Arial"/>
          <w:sz w:val="24"/>
          <w:szCs w:val="24"/>
        </w:rPr>
        <w:t xml:space="preserve">Li, W., ve Liao, J. (2017). A comparative study on trend forecasting approach for stock price time series. 11th IEEE International Conference on Anti-counterfeiting, Security, and Identification (ASID), 74-78.</w:t>
      </w:r>
    </w:p>
    <w:p>
      <w:pPr>
        <w:spacing w:after="100" w:before="100"/>
        <w:jc w:val="both"/>
      </w:pPr>
      <w:r>
        <w:rPr>
          <w:rFonts w:ascii="Arial" w:cs="Arial" w:eastAsia="Arial" w:hAnsi="Arial"/>
          <w:sz w:val="24"/>
          <w:szCs w:val="24"/>
        </w:rPr>
        <w:t xml:space="preserve">Liu, H. (2021). A research on stock forecasting based on principal component LSTM model. 2021 IEEE International Conference on Advances in Electrical Engineering and Computer Applications (AEECA), 684-688.</w:t>
      </w:r>
    </w:p>
    <w:p>
      <w:pPr>
        <w:spacing w:after="100" w:before="100"/>
        <w:jc w:val="both"/>
      </w:pPr>
      <w:r>
        <w:rPr>
          <w:rFonts w:ascii="Arial" w:cs="Arial" w:eastAsia="Arial" w:hAnsi="Arial"/>
          <w:sz w:val="24"/>
          <w:szCs w:val="24"/>
        </w:rPr>
        <w:t xml:space="preserve">Nabipour, M., Nayyeri, P., Jabani, H., Shabab, S., ve Mosavi, A. (2020). Predicting Stock Market Trends Using Machine Learning and Deep Learning Algorithm Via Continuous and Binary Data; a Comparative Analysis. IEEE Access, 150199-150212.</w:t>
      </w:r>
    </w:p>
    <w:p>
      <w:pPr>
        <w:spacing w:after="100" w:before="100"/>
        <w:jc w:val="both"/>
      </w:pPr>
      <w:r>
        <w:rPr>
          <w:rFonts w:ascii="Arial" w:cs="Arial" w:eastAsia="Arial" w:hAnsi="Arial"/>
          <w:sz w:val="24"/>
          <w:szCs w:val="24"/>
        </w:rPr>
        <w:t xml:space="preserve">Namin, S. S., ve Namin, A. S. (2018). FORECASTING ECONOMIC AND FINANCIAL TIME SERIES: ARIMA VS. LSTM. Texas Tech University, 1-19.</w:t>
      </w:r>
    </w:p>
    <w:p>
      <w:pPr>
        <w:spacing w:after="100" w:before="100"/>
        <w:jc w:val="both"/>
      </w:pPr>
      <w:r>
        <w:rPr>
          <w:rFonts w:ascii="Arial" w:cs="Arial" w:eastAsia="Arial" w:hAnsi="Arial"/>
          <w:sz w:val="24"/>
          <w:szCs w:val="24"/>
        </w:rPr>
        <w:t xml:space="preserve">NASDAQ. (2023). Nasdaq-100® Companies. Nasdaq-100: https://www.nasdaq.com/solutions/nasdaq-100/companies#utilities</w:t>
      </w:r>
    </w:p>
    <w:p>
      <w:pPr>
        <w:spacing w:after="100" w:before="100"/>
        <w:jc w:val="both"/>
      </w:pPr>
      <w:r>
        <w:rPr>
          <w:rFonts w:ascii="Arial" w:cs="Arial" w:eastAsia="Arial" w:hAnsi="Arial"/>
          <w:sz w:val="24"/>
          <w:szCs w:val="24"/>
        </w:rPr>
        <w:t xml:space="preserve">Nelson, D. M., Pereira, A. C., ve de Oliveira, R. A. (2017). Stock Market's Price Movement Prediction With LSTM Neural Networks. International Joint Conference on Neural Networks (IJCNN), 1419-1426.</w:t>
      </w:r>
    </w:p>
    <w:p>
      <w:pPr>
        <w:spacing w:after="100" w:before="100"/>
        <w:jc w:val="both"/>
      </w:pPr>
      <w:r>
        <w:rPr>
          <w:rFonts w:ascii="Arial" w:cs="Arial" w:eastAsia="Arial" w:hAnsi="Arial"/>
          <w:sz w:val="24"/>
          <w:szCs w:val="24"/>
        </w:rPr>
        <w:t xml:space="preserve">Parida, N., Balabantaray, K., Nayak, R., ve Rout, J. (2023). A Deep Learning based Approach to Stock Market Price Prediction using Technical indicators. 2023 International Conference on Advances in Intelligent Computing and Applications (AICAPS), 1-7.</w:t>
      </w:r>
    </w:p>
    <w:p>
      <w:pPr>
        <w:spacing w:after="100" w:before="100"/>
        <w:jc w:val="both"/>
      </w:pPr>
      <w:r>
        <w:rPr>
          <w:rFonts w:ascii="Arial" w:cs="Arial" w:eastAsia="Arial" w:hAnsi="Arial"/>
          <w:sz w:val="24"/>
          <w:szCs w:val="24"/>
        </w:rPr>
        <w:t xml:space="preserve">Pedregosa, F., ve ark. (2011). Scikit-learn: Machine Learning in Python. JMLR 12, 2825-2830.</w:t>
      </w:r>
    </w:p>
    <w:p>
      <w:pPr>
        <w:spacing w:after="100" w:before="100"/>
        <w:jc w:val="both"/>
      </w:pPr>
      <w:r>
        <w:rPr>
          <w:rFonts w:ascii="Arial" w:cs="Arial" w:eastAsia="Arial" w:hAnsi="Arial"/>
          <w:sz w:val="24"/>
          <w:szCs w:val="24"/>
        </w:rPr>
        <w:t xml:space="preserve">Piravechsakul, P., Kasetkasem, T., Marukatat, S., ve Kumazawa, I. (2021). Combining Technical Indicators and Deep Learning by using LSTM Stock Price Predictor. 2021 18th International Conference on Electrical Engineering/Electronics, Computer, Telecommunications and Information Technology (ECTI-CON), 1155-1158.</w:t>
      </w:r>
    </w:p>
    <w:p>
      <w:pPr>
        <w:spacing w:after="100" w:before="100"/>
        <w:jc w:val="both"/>
      </w:pPr>
      <w:r>
        <w:rPr>
          <w:rFonts w:ascii="Arial" w:cs="Arial" w:eastAsia="Arial" w:hAnsi="Arial"/>
          <w:sz w:val="24"/>
          <w:szCs w:val="24"/>
        </w:rPr>
        <w:t xml:space="preserve">RANDOM.ORG. (2023). True random number service. RANDOM.ORG: www.random.org</w:t>
      </w:r>
    </w:p>
    <w:p>
      <w:pPr>
        <w:spacing w:after="100" w:before="100"/>
        <w:jc w:val="both"/>
      </w:pPr>
      <w:r>
        <w:rPr>
          <w:rFonts w:ascii="Arial" w:cs="Arial" w:eastAsia="Arial" w:hAnsi="Arial"/>
          <w:sz w:val="24"/>
          <w:szCs w:val="24"/>
        </w:rPr>
        <w:t xml:space="preserve">Rutledge, D. (1986). Futures Markets. Routledge.</w:t>
      </w:r>
    </w:p>
    <w:p>
      <w:pPr>
        <w:spacing w:after="100" w:before="100"/>
        <w:jc w:val="both"/>
      </w:pPr>
      <w:r>
        <w:rPr>
          <w:rFonts w:ascii="Arial" w:cs="Arial" w:eastAsia="Arial" w:hAnsi="Arial"/>
          <w:sz w:val="24"/>
          <w:szCs w:val="24"/>
        </w:rPr>
        <w:t xml:space="preserve">Seabold, S., ve Perktold, J. (2010). statsmodels: Econometric and statistical modeling with python. Proceedings of the 9th Python in Science Conference.</w:t>
      </w:r>
    </w:p>
    <w:p>
      <w:pPr>
        <w:spacing w:after="100" w:before="100"/>
        <w:jc w:val="both"/>
      </w:pPr>
      <w:r>
        <w:rPr>
          <w:rFonts w:ascii="Arial" w:cs="Arial" w:eastAsia="Arial" w:hAnsi="Arial"/>
          <w:sz w:val="24"/>
          <w:szCs w:val="24"/>
        </w:rPr>
        <w:t xml:space="preserve">Sheth, D., ve Shah, M. (2023). Predicting stock market using machine learning: best and accurate way to know future stock prices. International Journal of System Assurance Engineering and Management, 1-18.</w:t>
      </w:r>
    </w:p>
    <w:p>
      <w:pPr>
        <w:spacing w:after="100" w:before="100"/>
        <w:jc w:val="both"/>
      </w:pPr>
      <w:r>
        <w:rPr>
          <w:rFonts w:ascii="Arial" w:cs="Arial" w:eastAsia="Arial" w:hAnsi="Arial"/>
          <w:sz w:val="24"/>
          <w:szCs w:val="24"/>
        </w:rPr>
        <w:t xml:space="preserve">ST. LOUIS FED. (2023). Federal Funds Effective Rate (FEDFUNDS). FRED: Economic Research Federal Reserve Bank St. Louis: https://fred.stlouisfed.org/series/FEDFUNDS</w:t>
      </w:r>
    </w:p>
    <w:p>
      <w:pPr>
        <w:spacing w:after="100" w:before="100"/>
        <w:jc w:val="both"/>
      </w:pPr>
      <w:r>
        <w:rPr>
          <w:rFonts w:ascii="Arial" w:cs="Arial" w:eastAsia="Arial" w:hAnsi="Arial"/>
          <w:sz w:val="24"/>
          <w:szCs w:val="24"/>
        </w:rPr>
        <w:t xml:space="preserve">Thorbecke, W. (2012). On Stock Market Returns and Monetary Policy. The Journal of Finance, 635-654.</w:t>
      </w:r>
    </w:p>
    <w:p>
      <w:pPr>
        <w:spacing w:after="100" w:before="100"/>
        <w:jc w:val="both"/>
      </w:pPr>
      <w:r>
        <w:rPr>
          <w:rFonts w:ascii="Arial" w:cs="Arial" w:eastAsia="Arial" w:hAnsi="Arial"/>
          <w:sz w:val="24"/>
          <w:szCs w:val="24"/>
        </w:rPr>
        <w:t xml:space="preserve">Uma Devi, B., Sundar, D., ve Alli, P. (2013). An Effective Time Series Analysis for Stock Trend Prediction Using ARIMA Model for Nifty Midcap-50. International Journal of Data Mining &amp; Knowledge Management Process (IJDKP).</w:t>
      </w:r>
    </w:p>
    <w:p>
      <w:pPr>
        <w:spacing w:after="100" w:before="100"/>
        <w:jc w:val="both"/>
      </w:pPr>
      <w:r>
        <w:rPr>
          <w:rFonts w:ascii="Arial" w:cs="Arial" w:eastAsia="Arial" w:hAnsi="Arial"/>
          <w:sz w:val="24"/>
          <w:szCs w:val="24"/>
        </w:rPr>
        <w:t xml:space="preserve">Vincent, B., Saputra, J., Izzatunnisa, S., Lucky, H., ve Iswanto, I. (2023). Stock Market Prediction System Using LSTM with Technical Indicators as Voters. 2023 4th International Conference on Artificial Intelligence and Data Sciences (AiDAS), 229-234.</w:t>
      </w:r>
    </w:p>
    <w:p>
      <w:pPr>
        <w:spacing w:after="100" w:before="100"/>
        <w:jc w:val="both"/>
      </w:pPr>
      <w:r>
        <w:rPr>
          <w:rFonts w:ascii="Arial" w:cs="Arial" w:eastAsia="Arial" w:hAnsi="Arial"/>
          <w:sz w:val="24"/>
          <w:szCs w:val="24"/>
        </w:rPr>
        <w:t xml:space="preserve">Waskom, M. (2021). seaborn: statistical data visualization. Journal of Open Source Software.</w:t>
      </w:r>
    </w:p>
    <w:p>
      <w:pPr>
        <w:spacing w:after="100" w:before="100"/>
        <w:jc w:val="both"/>
      </w:pPr>
      <w:r>
        <w:rPr>
          <w:rFonts w:ascii="Arial" w:cs="Arial" w:eastAsia="Arial" w:hAnsi="Arial"/>
          <w:sz w:val="24"/>
          <w:szCs w:val="24"/>
        </w:rPr>
        <w:t xml:space="preserve">Wu, J., Li, Z., Srivastava, G., Frnda, J., Diaz, V., ve Lin, J.-W. (2020). A CNN-based Stock Price Trend Prediction With Futures and Historical Price. 2020 International Conference on Pervasive Artificial Intelligence (ICPAI), 134-139.</w:t>
      </w:r>
    </w:p>
    <w:p>
      <w:pPr>
        <w:spacing w:after="100" w:before="100"/>
        <w:jc w:val="both"/>
      </w:pPr>
      <w:r>
        <w:rPr>
          <w:rFonts w:ascii="Arial" w:cs="Arial" w:eastAsia="Arial" w:hAnsi="Arial"/>
          <w:sz w:val="24"/>
          <w:szCs w:val="24"/>
        </w:rPr>
        <w:t xml:space="preserve">Yahoo Finance. (2023). ICE US Dollar Index - Index - C (DX-Y.NYB). Yahoo! Finance: https://finance.yahoo.com/quote/DX-Y.NYB/</w:t>
      </w:r>
    </w:p>
    <w:p>
      <w:pPr>
        <w:spacing w:after="100" w:before="100"/>
        <w:jc w:val="both"/>
      </w:pPr>
      <w:r>
        <w:rPr>
          <w:rFonts w:ascii="Arial" w:cs="Arial" w:eastAsia="Arial" w:hAnsi="Arial"/>
          <w:sz w:val="24"/>
          <w:szCs w:val="24"/>
        </w:rPr>
        <w:t xml:space="preserve">Yahoo Finance. (2023a). NASDAQ Composite (^IXIC). Yahoo! Finance: https://finance.yahoo.com/quote/%5EIXIC/</w:t>
      </w:r>
    </w:p>
    <w:p>
      <w:pPr>
        <w:spacing w:after="100" w:before="100"/>
        <w:jc w:val="both"/>
      </w:pPr>
      <w:r>
        <w:rPr>
          <w:rFonts w:ascii="Arial" w:cs="Arial" w:eastAsia="Arial" w:hAnsi="Arial"/>
          <w:sz w:val="24"/>
          <w:szCs w:val="24"/>
        </w:rPr>
        <w:t xml:space="preserve">Yang, B., Li, C., ve Li, M. (2017). Forecasting Analysis of Shanghai Stock Index Based on ARIMA Model. 13th Global Congress on Manufacturing and Management (GCMM 2016), 1-6.</w:t>
      </w:r>
    </w:p>
    <w:p>
      <w:pPr>
        <w:spacing w:after="100" w:before="100"/>
        <w:jc w:val="both"/>
      </w:pPr>
      <w:r>
        <w:rPr>
          <w:rFonts w:ascii="Arial" w:cs="Arial" w:eastAsia="Arial" w:hAnsi="Arial"/>
          <w:sz w:val="24"/>
          <w:szCs w:val="24"/>
        </w:rPr>
        <w:t xml:space="preserve">Yao, S., Luo, L., ve Peng, H. (2018). High-Frequency Stock Trend Forecast Using LSTM Model. 2018 13th International Conference on Computer Science &amp; Education (ICCSE), 1-4.</w:t>
      </w:r>
    </w:p>
    <w:p>
      <w:r>
        <w:br w:type="page"/>
      </w:r>
    </w:p>
    <w:p>
      <w:pPr>
        <w:pStyle w:val="Heading1"/>
        <w:spacing w:after="200" w:before="400"/>
      </w:pPr>
      <w:r>
        <w:rPr>
          <w:rFonts w:ascii="Arial" w:cs="Arial" w:eastAsia="Arial" w:hAnsi="Arial"/>
          <w:b/>
          <w:bCs/>
          <w:sz w:val="32"/>
          <w:szCs w:val="32"/>
        </w:rPr>
        <w:t xml:space="preserve">Ek</w:t>
      </w:r>
    </w:p>
    <w:p>
      <w:pPr>
        <w:pStyle w:val="Heading2"/>
        <w:spacing w:after="150" w:before="300"/>
      </w:pPr>
      <w:r>
        <w:rPr>
          <w:rFonts w:ascii="Arial" w:cs="Arial" w:eastAsia="Arial" w:hAnsi="Arial"/>
          <w:b/>
          <w:bCs/>
          <w:sz w:val="28"/>
          <w:szCs w:val="28"/>
        </w:rPr>
        <w:t xml:space="preserve">Ek A: Teknik Gösterge Formülleri</w:t>
      </w:r>
    </w:p>
    <w:p>
      <w:pPr>
        <w:spacing w:after="100" w:before="100"/>
        <w:jc w:val="both"/>
      </w:pPr>
      <w:r>
        <w:rPr>
          <w:rFonts w:ascii="Arial" w:cs="Arial" w:eastAsia="Arial" w:hAnsi="Arial"/>
          <w:sz w:val="24"/>
          <w:szCs w:val="24"/>
        </w:rPr>
        <w:t xml:space="preserve">14 Günlük RSI:</w:t>
      </w:r>
    </w:p>
    <w:p>
      <w:pPr>
        <w:spacing w:after="100" w:before="100"/>
        <w:jc w:val="both"/>
      </w:pPr>
      <w:r>
        <w:rPr>
          <w:rFonts w:ascii="Arial" w:cs="Arial" w:eastAsia="Arial" w:hAnsi="Arial"/>
          <w:sz w:val="24"/>
          <w:szCs w:val="24"/>
        </w:rPr>
        <w:t xml:space="preserve">RS = Ortalama 14 günlük kazanç / Ortalama 14 günlük kayıp</w:t>
      </w:r>
    </w:p>
    <w:p>
      <w:pPr>
        <w:spacing w:after="100" w:before="100"/>
        <w:jc w:val="both"/>
      </w:pPr>
      <w:r>
        <w:rPr>
          <w:rFonts w:ascii="Arial" w:cs="Arial" w:eastAsia="Arial" w:hAnsi="Arial"/>
          <w:sz w:val="24"/>
          <w:szCs w:val="24"/>
        </w:rPr>
        <w:t xml:space="preserve">RSI = 100 - (100 / (1 + RS))</w:t>
      </w:r>
    </w:p>
    <w:p>
      <w:pPr>
        <w:spacing w:after="60" w:before="60"/>
      </w:pPr>
      <w:r>
        <w:t xml:space="preserve"/>
      </w:r>
    </w:p>
    <w:p>
      <w:pPr>
        <w:spacing w:after="100" w:before="100"/>
        <w:jc w:val="both"/>
      </w:pPr>
      <w:r>
        <w:rPr>
          <w:rFonts w:ascii="Arial" w:cs="Arial" w:eastAsia="Arial" w:hAnsi="Arial"/>
          <w:sz w:val="24"/>
          <w:szCs w:val="24"/>
        </w:rPr>
        <w:t xml:space="preserve">MACD:</w:t>
      </w:r>
    </w:p>
    <w:p>
      <w:pPr>
        <w:spacing w:after="100" w:before="100"/>
        <w:jc w:val="both"/>
      </w:pPr>
      <w:r>
        <w:rPr>
          <w:rFonts w:ascii="Arial" w:cs="Arial" w:eastAsia="Arial" w:hAnsi="Arial"/>
          <w:sz w:val="24"/>
          <w:szCs w:val="24"/>
        </w:rPr>
        <w:t xml:space="preserve">MACD = EMA(12) - EMA(26)</w:t>
      </w:r>
    </w:p>
    <w:p>
      <w:pPr>
        <w:spacing w:after="60" w:before="60"/>
      </w:pPr>
      <w:r>
        <w:t xml:space="preserve"/>
      </w:r>
    </w:p>
    <w:p>
      <w:pPr>
        <w:spacing w:after="100" w:before="100"/>
        <w:jc w:val="both"/>
      </w:pPr>
      <w:r>
        <w:rPr>
          <w:rFonts w:ascii="Arial" w:cs="Arial" w:eastAsia="Arial" w:hAnsi="Arial"/>
          <w:sz w:val="24"/>
          <w:szCs w:val="24"/>
        </w:rPr>
        <w:t xml:space="preserve">ADX:</w:t>
      </w:r>
    </w:p>
    <w:p>
      <w:pPr>
        <w:spacing w:after="100" w:before="100"/>
        <w:jc w:val="both"/>
      </w:pPr>
      <w:r>
        <w:rPr>
          <w:rFonts w:ascii="Arial" w:cs="Arial" w:eastAsia="Arial" w:hAnsi="Arial"/>
          <w:sz w:val="24"/>
          <w:szCs w:val="24"/>
        </w:rPr>
        <w:t xml:space="preserve">+DI = (Düzeltilmiş +DM / ATR) × 100</w:t>
      </w:r>
    </w:p>
    <w:p>
      <w:pPr>
        <w:spacing w:after="100" w:before="100"/>
        <w:jc w:val="both"/>
      </w:pPr>
      <w:r>
        <w:rPr>
          <w:rFonts w:ascii="Arial" w:cs="Arial" w:eastAsia="Arial" w:hAnsi="Arial"/>
          <w:sz w:val="24"/>
          <w:szCs w:val="24"/>
        </w:rPr>
        <w:t xml:space="preserve">-DI = (Düzeltilmiş -DM / ATR) × 100</w:t>
      </w:r>
    </w:p>
    <w:p>
      <w:pPr>
        <w:spacing w:after="100" w:before="100"/>
        <w:jc w:val="both"/>
      </w:pPr>
      <w:r>
        <w:rPr>
          <w:rFonts w:ascii="Arial" w:cs="Arial" w:eastAsia="Arial" w:hAnsi="Arial"/>
          <w:sz w:val="24"/>
          <w:szCs w:val="24"/>
        </w:rPr>
        <w:t xml:space="preserve">DX = (|+DI - -DI| / |+DI + -DI|) × 100</w:t>
      </w:r>
    </w:p>
    <w:p>
      <w:pPr>
        <w:spacing w:after="100" w:before="100"/>
        <w:jc w:val="both"/>
      </w:pPr>
      <w:r>
        <w:rPr>
          <w:rFonts w:ascii="Arial" w:cs="Arial" w:eastAsia="Arial" w:hAnsi="Arial"/>
          <w:sz w:val="24"/>
          <w:szCs w:val="24"/>
        </w:rPr>
        <w:t xml:space="preserve">ADX = ((Önceki ADX × 13) + Güncel ADX) / 14</w:t>
      </w:r>
    </w:p>
    <w:p>
      <w:pPr>
        <w:spacing w:after="100" w:before="100"/>
        <w:jc w:val="both"/>
      </w:pPr>
      <w:r>
        <w:rPr>
          <w:rFonts w:ascii="Arial" w:cs="Arial" w:eastAsia="Arial" w:hAnsi="Arial"/>
          <w:sz w:val="24"/>
          <w:szCs w:val="24"/>
        </w:rPr>
        <w:t xml:space="preserve">Burada: +DM (Yönsel Hareket) = Güncel Yüksek - ÖH (Önceki Yüksek); ÖH = Önceki Yüksek; -DM = Önceki Düşük - Güncel Düşük; Düzeltilmiş +/-DM = Toplam(1-14) DM - (Toplam(1-14) DM / 14) + GDM; GDM = Güncel DM; ATR = Ortalama Gerçek Aralık</w:t>
      </w:r>
    </w:p>
    <w:p>
      <w:pPr>
        <w:spacing w:after="60" w:before="60"/>
      </w:pPr>
      <w:r>
        <w:t xml:space="preserve"/>
      </w:r>
    </w:p>
    <w:p>
      <w:pPr>
        <w:spacing w:after="100" w:before="100"/>
        <w:jc w:val="both"/>
      </w:pPr>
      <w:r>
        <w:rPr>
          <w:rFonts w:ascii="Arial" w:cs="Arial" w:eastAsia="Arial" w:hAnsi="Arial"/>
          <w:sz w:val="24"/>
          <w:szCs w:val="24"/>
        </w:rPr>
        <w:t xml:space="preserve">SO %K = (Güncel Kapanış - En Düşük) / (En Yüksek - En Düşük) × 100</w:t>
      </w:r>
    </w:p>
    <w:p>
      <w:pPr>
        <w:spacing w:after="100" w:before="100"/>
        <w:jc w:val="both"/>
      </w:pPr>
      <w:r>
        <w:rPr>
          <w:rFonts w:ascii="Arial" w:cs="Arial" w:eastAsia="Arial" w:hAnsi="Arial"/>
          <w:sz w:val="24"/>
          <w:szCs w:val="24"/>
        </w:rPr>
        <w:t xml:space="preserve">SO %D: %K'nın 3 dönemlik SMA'sı</w:t>
      </w:r>
    </w:p>
    <w:p>
      <w:pPr>
        <w:spacing w:after="60" w:before="60"/>
      </w:pPr>
      <w:r>
        <w:t xml:space="preserve"/>
      </w:r>
    </w:p>
    <w:p>
      <w:pPr>
        <w:spacing w:after="100" w:before="100"/>
        <w:jc w:val="both"/>
      </w:pPr>
      <w:r>
        <w:rPr>
          <w:rFonts w:ascii="Arial" w:cs="Arial" w:eastAsia="Arial" w:hAnsi="Arial"/>
          <w:sz w:val="24"/>
          <w:szCs w:val="24"/>
        </w:rPr>
        <w:t xml:space="preserve">EMA 12 = ((GMP × DF) + (EMA(ö) × (1 - DF)))</w:t>
      </w:r>
    </w:p>
    <w:p>
      <w:pPr>
        <w:spacing w:after="100" w:before="100"/>
        <w:jc w:val="both"/>
      </w:pPr>
      <w:r>
        <w:rPr>
          <w:rFonts w:ascii="Arial" w:cs="Arial" w:eastAsia="Arial" w:hAnsi="Arial"/>
          <w:sz w:val="24"/>
          <w:szCs w:val="24"/>
        </w:rPr>
        <w:t xml:space="preserve">EMA 26 = ((GMP × DF) + (EMA(ö) × (1 - DF)))</w:t>
      </w:r>
    </w:p>
    <w:p>
      <w:pPr>
        <w:spacing w:after="100" w:before="100"/>
        <w:jc w:val="both"/>
      </w:pPr>
      <w:r>
        <w:rPr>
          <w:rFonts w:ascii="Arial" w:cs="Arial" w:eastAsia="Arial" w:hAnsi="Arial"/>
          <w:sz w:val="24"/>
          <w:szCs w:val="24"/>
        </w:rPr>
        <w:t xml:space="preserve">Burada: GMP = Güncel piyasa fiyatı; DF = Düzeltme faktörü; EMA(ö) = Önceki EMA</w:t>
      </w:r>
    </w:p>
    <w:p>
      <w:pPr>
        <w:pStyle w:val="Heading2"/>
        <w:spacing w:after="150" w:before="300"/>
      </w:pPr>
      <w:r>
        <w:rPr>
          <w:rFonts w:ascii="Arial" w:cs="Arial" w:eastAsia="Arial" w:hAnsi="Arial"/>
          <w:b/>
          <w:bCs/>
          <w:sz w:val="28"/>
          <w:szCs w:val="28"/>
        </w:rPr>
        <w:t xml:space="preserve">Ek B: NASDAQ Sektörleri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Sektör</w:t>
            </w:r>
          </w:p>
        </w:tc>
        <w:tc>
          <w:tcPr>
            <w:tcW w:type="dxa" w:w="468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Hisse Senetleri</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Tüketici Takdiri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Amazon (AMZN), Starbucks (SBUX), Verisk Analytics (VRSK), Marriott International (MAR), Dollar Tree (DLTR)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Tüketici Temel Malları</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Monster Beverage (MNST), Kraft Heinz (KHC), PepsiCo (PEP), Amgen (AMGN), Mondelez International (MDLZ)</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Sağlık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Gilead Sciences (GILD), AstraZeneca (AZN), Seagen (SGEN), IDEXX Laboratories (IDXX)</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Sanayi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CSX Corporation (CSX), Honeywell International (HON), Baker Hughes (BKR)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Teknoloji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Autodesk (ADSK), Apple (AAPL), Alphabet Inc. (GOOGL), Microchip Technology Inc. (MCHP)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Telekomünikasyon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T-Mobile US (TMUS), Charter Communications (CHTR), American Electric Power Company (AEP)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Kamu Hizmetleri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Xcel Energy (XEL), Exelon Corporation (EXC)</w:t>
            </w:r>
          </w:p>
        </w:tc>
      </w:tr>
    </w:tbl>
    <w:p>
      <w:pPr>
        <w:spacing w:after="60" w:before="60"/>
      </w:pPr>
      <w:r>
        <w:t xml:space="preserve"/>
      </w:r>
    </w:p>
    <w:p>
      <w:pPr>
        <w:spacing w:after="100" w:before="100"/>
        <w:jc w:val="both"/>
      </w:pPr>
      <w:r>
        <w:rPr>
          <w:rFonts w:ascii="Arial" w:cs="Arial" w:eastAsia="Arial" w:hAnsi="Arial"/>
          <w:sz w:val="24"/>
          <w:szCs w:val="24"/>
        </w:rPr>
        <w:t xml:space="preserve">Tüm veriler Yahoo Finance'ten elde edilmiştir (2023).</w:t>
      </w:r>
    </w:p>
    <w:p>
      <w:pPr>
        <w:pStyle w:val="Heading2"/>
        <w:spacing w:after="150" w:before="300"/>
      </w:pPr>
      <w:r>
        <w:rPr>
          <w:rFonts w:ascii="Arial" w:cs="Arial" w:eastAsia="Arial" w:hAnsi="Arial"/>
          <w:b/>
          <w:bCs/>
          <w:sz w:val="28"/>
          <w:szCs w:val="28"/>
        </w:rPr>
        <w:t xml:space="preserve">Ek C: Model Başına Hiperparametreler</w:t>
      </w:r>
    </w:p>
    <w:p>
      <w:pPr>
        <w:spacing w:after="100" w:before="200"/>
      </w:pPr>
      <w:r>
        <w:rPr>
          <w:rFonts w:ascii="Arial" w:cs="Arial" w:eastAsia="Arial" w:hAnsi="Arial"/>
          <w:b/>
          <w:bCs/>
          <w:sz w:val="24"/>
          <w:szCs w:val="24"/>
        </w:rPr>
        <w:t xml:space="preserve">LSTM - Tarihsel ve Teknik Göstergeler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Çıktı Uzunluğu</w:t>
            </w:r>
          </w:p>
        </w:tc>
        <w:tc>
          <w:tcPr>
            <w:tcW w:type="dxa" w:w="312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Girdi Uzunluğu</w:t>
            </w:r>
          </w:p>
        </w:tc>
        <w:tc>
          <w:tcPr>
            <w:tcW w:type="dxa" w:w="312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Optimum Hiperparametreler (Aktivasyon, Bırakma Oranı, Optimize Edici)</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(Relu, 0.0, SGD)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(Relu, 0.2, Adam)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(tanh, 0.0, SGD)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(Relu, 0.2, SGD)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(tanh, 0.0, Adam)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(tanh, 0.0, Adam)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(Relu, 0.0, SGD)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(tanh, 0.0, Adam)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(tanh, 0.0, Adam)</w:t>
            </w:r>
          </w:p>
        </w:tc>
      </w:tr>
    </w:tbl>
    <w:p>
      <w:pPr>
        <w:spacing w:after="60" w:before="60"/>
      </w:pPr>
      <w:r>
        <w:t xml:space="preserve"/>
      </w:r>
    </w:p>
    <w:p>
      <w:pPr>
        <w:spacing w:after="100" w:before="200"/>
      </w:pPr>
      <w:r>
        <w:rPr>
          <w:rFonts w:ascii="Arial" w:cs="Arial" w:eastAsia="Arial" w:hAnsi="Arial"/>
          <w:b/>
          <w:bCs/>
          <w:sz w:val="24"/>
          <w:szCs w:val="24"/>
        </w:rPr>
        <w:t xml:space="preserve">LSTM - Tarihsel Göstergeler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Çıktı Uzunluğu</w:t>
            </w:r>
          </w:p>
        </w:tc>
        <w:tc>
          <w:tcPr>
            <w:tcW w:type="dxa" w:w="312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Girdi Uzunluğu</w:t>
            </w:r>
          </w:p>
        </w:tc>
        <w:tc>
          <w:tcPr>
            <w:tcW w:type="dxa" w:w="312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Optimum Hiperparametreler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(tanh, 0.0, Adam)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(tanh, 0.0, Adam)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(tanh, 0.0, SGD)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(Relu, 0.4, SGD)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(tanh, 0.0, Adam)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(tanh, 0.0, Adam)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(Relu, 0.4, Adam)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(Relu, 0.2, Adam)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(tanh, 0.0, Adam)</w:t>
            </w:r>
          </w:p>
        </w:tc>
      </w:tr>
    </w:tbl>
    <w:p>
      <w:pPr>
        <w:spacing w:after="60" w:before="60"/>
      </w:pPr>
      <w:r>
        <w:t xml:space="preserve"/>
      </w:r>
    </w:p>
    <w:p>
      <w:pPr>
        <w:spacing w:after="100" w:before="200"/>
      </w:pPr>
      <w:r>
        <w:rPr>
          <w:rFonts w:ascii="Arial" w:cs="Arial" w:eastAsia="Arial" w:hAnsi="Arial"/>
          <w:b/>
          <w:bCs/>
          <w:sz w:val="24"/>
          <w:szCs w:val="24"/>
        </w:rPr>
        <w:t xml:space="preserve">LSTM - Teknik Göstergeler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Çıktı Uzunluğu</w:t>
            </w:r>
          </w:p>
        </w:tc>
        <w:tc>
          <w:tcPr>
            <w:tcW w:type="dxa" w:w="312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Girdi Uzunluğu</w:t>
            </w:r>
          </w:p>
        </w:tc>
        <w:tc>
          <w:tcPr>
            <w:tcW w:type="dxa" w:w="312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Optimum Hiperparametreler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(tanh, 0.0, Adam)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(Relu, 0.2, Adam)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(tanh, 0.0, SGD)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(tanh, 0.2, Adam)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(tanh, 0.0, Adam)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(tanh, 0.2, Adam)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(tanh, 0.0, Adam)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(tanh, 0.2, Adam)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(tanh, 0.4, Adam)</w:t>
            </w:r>
          </w:p>
        </w:tc>
      </w:tr>
    </w:tbl>
    <w:p>
      <w:pPr>
        <w:spacing w:after="60" w:before="60"/>
      </w:pPr>
      <w:r>
        <w:t xml:space="preserve"/>
      </w:r>
    </w:p>
    <w:p>
      <w:pPr>
        <w:spacing w:after="100" w:before="200"/>
      </w:pPr>
      <w:r>
        <w:rPr>
          <w:rFonts w:ascii="Arial" w:cs="Arial" w:eastAsia="Arial" w:hAnsi="Arial"/>
          <w:b/>
          <w:bCs/>
          <w:sz w:val="24"/>
          <w:szCs w:val="24"/>
        </w:rPr>
        <w:t xml:space="preserve">LSTM - Kapanış Fiyatı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Çıktı Uzunluğu</w:t>
            </w:r>
          </w:p>
        </w:tc>
        <w:tc>
          <w:tcPr>
            <w:tcW w:type="dxa" w:w="312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Girdi Uzunluğu</w:t>
            </w:r>
          </w:p>
        </w:tc>
        <w:tc>
          <w:tcPr>
            <w:tcW w:type="dxa" w:w="312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Optimum Hiperparametreler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(Relu, 0.0, SGD)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(tanh, 0.0, Adam)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(tanh, 0.0, Adam)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(Relu, 0.0, SGD)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(Relu, 0.2, Adam)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(tanh, 0.0, Adam)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(Relu, 0.4, Adam)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(Relu, 0.0, SGD)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(Relu, 0.2, SGD)</w:t>
            </w:r>
          </w:p>
        </w:tc>
      </w:tr>
    </w:tbl>
    <w:p>
      <w:pPr>
        <w:spacing w:after="60" w:before="60"/>
      </w:pPr>
      <w:r>
        <w:t xml:space="preserve"/>
      </w:r>
    </w:p>
    <w:p>
      <w:pPr>
        <w:spacing w:after="100" w:before="200"/>
      </w:pPr>
      <w:r>
        <w:rPr>
          <w:rFonts w:ascii="Arial" w:cs="Arial" w:eastAsia="Arial" w:hAnsi="Arial"/>
          <w:b/>
          <w:bCs/>
          <w:sz w:val="24"/>
          <w:szCs w:val="24"/>
        </w:rPr>
        <w:t xml:space="preserve">ARIMA - Tarihsel ve Teknik Göstergeler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Çıktı Uzunluğu</w:t>
            </w:r>
          </w:p>
        </w:tc>
        <w:tc>
          <w:tcPr>
            <w:tcW w:type="dxa" w:w="312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Girdi Uzunluğu</w:t>
            </w:r>
          </w:p>
        </w:tc>
        <w:tc>
          <w:tcPr>
            <w:tcW w:type="dxa" w:w="312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Optimum Hiperparametreler (p, d, q)</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(0, 0, 0)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(1, 0, 2)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(2, 0, 3)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(0, 0, 0)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(0, 0, 0)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(0, 0, 0)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(0, 0, 0)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(0, 0, 0)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(0, 0, 3)</w:t>
            </w:r>
          </w:p>
        </w:tc>
      </w:tr>
    </w:tbl>
    <w:p>
      <w:pPr>
        <w:spacing w:after="60" w:before="60"/>
      </w:pPr>
      <w:r>
        <w:t xml:space="preserve"/>
      </w:r>
    </w:p>
    <w:p>
      <w:pPr>
        <w:spacing w:after="100" w:before="200"/>
      </w:pPr>
      <w:r>
        <w:rPr>
          <w:rFonts w:ascii="Arial" w:cs="Arial" w:eastAsia="Arial" w:hAnsi="Arial"/>
          <w:b/>
          <w:bCs/>
          <w:sz w:val="24"/>
          <w:szCs w:val="24"/>
        </w:rPr>
        <w:t xml:space="preserve">ARIMA - Teknik Göstergeler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Çıktı Uzunluğu</w:t>
            </w:r>
          </w:p>
        </w:tc>
        <w:tc>
          <w:tcPr>
            <w:tcW w:type="dxa" w:w="312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Girdi Uzunluğu</w:t>
            </w:r>
          </w:p>
        </w:tc>
        <w:tc>
          <w:tcPr>
            <w:tcW w:type="dxa" w:w="312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Optimum Hiperparametreler (p, d, q)</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(1, 0, 1)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(3, 0, 3)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(4, 0, 3)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(0, 0, 1)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(0, 0, 1)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(0, 0, 1)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(0, 0, 1)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(2, 0, 2)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(0, 0, 1)</w:t>
            </w:r>
          </w:p>
        </w:tc>
      </w:tr>
    </w:tbl>
    <w:p>
      <w:pPr>
        <w:pStyle w:val="Heading2"/>
        <w:spacing w:after="150" w:before="300"/>
      </w:pPr>
      <w:r>
        <w:rPr>
          <w:rFonts w:ascii="Arial" w:cs="Arial" w:eastAsia="Arial" w:hAnsi="Arial"/>
          <w:b/>
          <w:bCs/>
          <w:sz w:val="28"/>
          <w:szCs w:val="28"/>
        </w:rPr>
        <w:t xml:space="preserve">Ek D: Karışıklık Matrisleri (Özet)</w:t>
      </w:r>
    </w:p>
    <w:p>
      <w:pPr>
        <w:spacing w:after="100" w:before="100"/>
        <w:jc w:val="both"/>
      </w:pPr>
      <w:r>
        <w:rPr>
          <w:rFonts w:ascii="Arial" w:cs="Arial" w:eastAsia="Arial" w:hAnsi="Arial"/>
          <w:sz w:val="24"/>
          <w:szCs w:val="24"/>
        </w:rPr>
        <w:t xml:space="preserve">Tüm karışıklık matrislerinin LSTM ve CNN için 3 tohumun ortalaması olduğunu belirtmek gerekir. Ek D, tam karışıklık matrislerini içermekte olup bu bölümde yalnızca en önemli konfigürasyonlar özetlenmiştir. Tam sonuçlar için orijinal teze bakınız.</w:t>
      </w:r>
    </w:p>
    <w:p>
      <w:pPr>
        <w:pStyle w:val="Heading2"/>
        <w:spacing w:after="150" w:before="300"/>
      </w:pPr>
      <w:r>
        <w:rPr>
          <w:rFonts w:ascii="Arial" w:cs="Arial" w:eastAsia="Arial" w:hAnsi="Arial"/>
          <w:b/>
          <w:bCs/>
          <w:sz w:val="28"/>
          <w:szCs w:val="28"/>
        </w:rPr>
        <w:t xml:space="preserve">Ek E: Gösterge Grubu ve Girdi/Çıktı Uzunluğuna Göre Sonuçlar (LSTM Özeti)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Göstergeler</w:t>
            </w:r>
          </w:p>
        </w:tc>
        <w:tc>
          <w:tcPr>
            <w:tcW w:type="dxa" w:w="156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Çıktı</w:t>
            </w:r>
          </w:p>
        </w:tc>
        <w:tc>
          <w:tcPr>
            <w:tcW w:type="dxa" w:w="156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Girdi</w:t>
            </w:r>
          </w:p>
        </w:tc>
        <w:tc>
          <w:tcPr>
            <w:tcW w:type="dxa" w:w="156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Ort. Test Doğ.</w:t>
            </w:r>
          </w:p>
        </w:tc>
        <w:tc>
          <w:tcPr>
            <w:tcW w:type="dxa" w:w="156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F1-Puanı</w:t>
            </w:r>
          </w:p>
        </w:tc>
        <w:tc>
          <w:tcPr>
            <w:tcW w:type="dxa" w:w="156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Std. Sapma</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Tarihsel ve teknik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0,4883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0,3815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0,0406</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Tarihsel ve teknik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0,5514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0,3669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0,0281</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Tarihsel ve teknik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0,5815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0,4046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0,0000</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Tarihsel ve teknik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0,5369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0,4234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0,1280</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Tarihsel ve teknik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0,5784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0,5676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0,0000</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Tarihsel ve teknik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0,5652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0,6054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0,0000</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Tarihsel ve teknik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0,5099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0,4524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0,0343</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Tarihsel ve teknik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0,5568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0,4349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0,0000</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Tarihsel ve teknik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0,5598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0,3982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0,0000</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Teknik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0,5279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0,4907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0,0352</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Teknik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0,5387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0,5096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0,0667</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Teknik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0,5707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0,5547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0,0109</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Teknik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0,6991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0,6941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0,0136</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Teknik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0,6541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0,6538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0,0236</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Teknik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0,6576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0,6526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0,0094</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Teknik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0,7964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0,8273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0,0083</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Teknik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0,7514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0,7476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0,0143</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Teknik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0,8279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0,7948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0,0220</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Tarihsel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0,5369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0,3815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0,1280</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Tarihsel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0,5297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0,3669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0,0000</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Tarihsel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0,5622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0,4046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0,0000</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Tarihsel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0,4876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0,4492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0,1014</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Tarihsel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0,5729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0,4110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0,0093</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Tarihsel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0,5959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0,4566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0,0164</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Tarihsel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0,5640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0,4534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0,0531</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Tarihsel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0,5730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0,4349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0,0094</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Tarihsel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0,5568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0,3982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0,0000</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Kapanış fiyatı</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0,5694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0,4678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0,0718</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Kapanış fiyatı</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0,5135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0,4005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0,0281</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Kapanış fiyatı</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0,5387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0,4339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0,0406</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Kapanış fiyatı</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0,6270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0,4833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0,0000</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Kapanış fiyatı</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0,4775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0,3567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0,0689</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Kapanış fiyatı</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0,6144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0,5169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0,0156</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Kapanış fiyatı</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0,7207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0,6072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0,0156</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Kapanış fiyatı</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0,4649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0,3823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0,1966</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Kapanış fiyatı</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0,3820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0,2896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0,0531</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Göstergeler</w:t>
            </w:r>
          </w:p>
        </w:tc>
        <w:tc>
          <w:tcPr>
            <w:tcW w:type="dxa" w:w="312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Test Doğruluğu</w:t>
            </w:r>
          </w:p>
        </w:tc>
        <w:tc>
          <w:tcPr>
            <w:tcW w:type="dxa" w:w="312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F1-Puanı</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Tarihsel ve teknik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0,54757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0,4483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Teknik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0,66930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0,6584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Tarihsel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0,55322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0,3815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Kapanış fiyatı</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0,54535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0,4376</w:t>
            </w:r>
          </w:p>
        </w:tc>
      </w:tr>
    </w:tbl>
    <w:p>
      <w:pPr>
        <w:spacing w:after="80" w:before="80"/>
        <w:jc w:val="center"/>
      </w:pPr>
      <w:r>
        <w:rPr>
          <w:rFonts w:ascii="Arial" w:cs="Arial" w:eastAsia="Arial" w:hAnsi="Arial"/>
          <w:i/>
          <w:iCs/>
          <w:sz w:val="22"/>
          <w:szCs w:val="22"/>
        </w:rPr>
        <w:t xml:space="preserve">Ortalama LSTM sonuçları</w:t>
      </w:r>
    </w:p>
    <w:p>
      <w:pPr>
        <w:pStyle w:val="Heading2"/>
        <w:spacing w:after="150" w:before="300"/>
      </w:pPr>
      <w:r>
        <w:rPr>
          <w:rFonts w:ascii="Arial" w:cs="Arial" w:eastAsia="Arial" w:hAnsi="Arial"/>
          <w:b/>
          <w:bCs/>
          <w:sz w:val="28"/>
          <w:szCs w:val="28"/>
        </w:rPr>
        <w:t xml:space="preserve">Ek F: Simülasyon İşlemleri</w:t>
      </w:r>
    </w:p>
    <w:p>
      <w:pPr>
        <w:spacing w:after="100" w:before="100"/>
        <w:jc w:val="both"/>
      </w:pPr>
      <w:r>
        <w:rPr>
          <w:rFonts w:ascii="Arial" w:cs="Arial" w:eastAsia="Arial" w:hAnsi="Arial"/>
          <w:sz w:val="24"/>
          <w:szCs w:val="24"/>
        </w:rPr>
        <w:t xml:space="preserve">Aşağıda ticaret simülasyonunun ilk işlemlerine ait özet tablo yer almaktadır. Tam liste orijinal tezdedir.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Gün</w:t>
            </w:r>
          </w:p>
        </w:tc>
        <w:tc>
          <w:tcPr>
            <w:tcW w:type="dxa" w:w="1337"/>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İşlem Türü</w:t>
            </w:r>
          </w:p>
        </w:tc>
        <w:tc>
          <w:tcPr>
            <w:tcW w:type="dxa" w:w="1337"/>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Yatırılan Tutar</w:t>
            </w:r>
          </w:p>
        </w:tc>
        <w:tc>
          <w:tcPr>
            <w:tcW w:type="dxa" w:w="1337"/>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Kapanış Fiyatı</w:t>
            </w:r>
          </w:p>
        </w:tc>
        <w:tc>
          <w:tcPr>
            <w:tcW w:type="dxa" w:w="1337"/>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Nakde Çevirme Günü</w:t>
            </w:r>
          </w:p>
        </w:tc>
        <w:tc>
          <w:tcPr>
            <w:tcW w:type="dxa" w:w="1337"/>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Bakiye Değişimi</w:t>
            </w:r>
          </w:p>
        </w:tc>
        <w:tc>
          <w:tcPr>
            <w:tcW w:type="dxa" w:w="1337"/>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Son Bakiye</w:t>
            </w:r>
          </w:p>
        </w:tc>
      </w:tr>
      <w:tr>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Alış</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200</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13.897,30</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208,18</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1.008,18</w:t>
            </w:r>
          </w:p>
        </w:tc>
      </w:tr>
      <w:tr>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Satış</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200</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13.897,30</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200</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1.200</w:t>
            </w:r>
          </w:p>
        </w:tc>
      </w:tr>
      <w:tr>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Alış</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200</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13.711</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205,68</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1.013,86</w:t>
            </w:r>
          </w:p>
        </w:tc>
      </w:tr>
      <w:tr>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Satış</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200</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13.711</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200</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1.400</w:t>
            </w:r>
          </w:p>
        </w:tc>
      </w:tr>
      <w:tr>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Alış</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200</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13.411,96</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196,95</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1.010,81</w:t>
            </w:r>
          </w:p>
        </w:tc>
      </w:tr>
      <w:tr>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Satış</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200</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13.411,96</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200</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1.600</w:t>
            </w:r>
          </w:p>
        </w:tc>
      </w:tr>
      <w:tr>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Alış</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200</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13.371,57</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198,79</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1.009,60</w:t>
            </w:r>
          </w:p>
        </w:tc>
      </w:tr>
      <w:tr>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Alış</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200</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13.643,59</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207,12</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1.016,72</w:t>
            </w:r>
          </w:p>
        </w:tc>
      </w:tr>
      <w:tr>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7</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Alış</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200</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13.351,08</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207,97</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1.024,69</w:t>
            </w:r>
          </w:p>
        </w:tc>
      </w:tr>
      <w:tr>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7</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Satış</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200</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13.351,08</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200</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1.805,91</w:t>
            </w:r>
          </w:p>
        </w:tc>
      </w:tr>
    </w:tbl>
    <w:p>
      <w:pPr>
        <w:spacing w:after="60" w:before="60"/>
      </w:pPr>
      <w:r>
        <w:t xml:space="preserve"/>
      </w:r>
    </w:p>
    <w:p>
      <w:pPr>
        <w:spacing w:after="100" w:before="100"/>
        <w:jc w:val="both"/>
      </w:pPr>
      <w:r>
        <w:rPr>
          <w:rFonts w:ascii="Arial" w:cs="Arial" w:eastAsia="Arial" w:hAnsi="Arial"/>
          <w:sz w:val="24"/>
          <w:szCs w:val="24"/>
        </w:rPr>
        <w:t xml:space="preserve">Not: Tam simülasyon 120 gün sürmekte olup başlangıç bakiyesi 1.000 USD, bitiş bakiyesi 5.772,87 USD olarak gerçekleşmiştir.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2E4057"/>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E405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2026-04-20T18:48:00.236Z</dcterms:created>
  <dcterms:modified xsi:type="dcterms:W3CDTF">2026-04-20T18:48:00.238Z</dcterms:modified>
</cp:coreProperties>
</file>

<file path=docProps/custom.xml><?xml version="1.0" encoding="utf-8"?>
<Properties xmlns="http://schemas.openxmlformats.org/officeDocument/2006/custom-properties" xmlns:vt="http://schemas.openxmlformats.org/officeDocument/2006/docPropsVTypes"/>
</file>