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24EEC1" w14:textId="4BA3EF49" w:rsidR="00467EA4" w:rsidRDefault="00EC75D5">
      <w:pPr>
        <w:pStyle w:val="Heading1"/>
        <w:spacing w:before="65"/>
        <w:ind w:left="2995" w:right="817"/>
      </w:pPr>
      <w:r>
        <w:rPr>
          <w:color w:val="666666"/>
        </w:rPr>
        <w:t>V</w:t>
      </w:r>
      <w:r w:rsidR="00A1797B">
        <w:rPr>
          <w:color w:val="666666"/>
        </w:rPr>
        <w:t>I</w:t>
      </w:r>
      <w:r w:rsidR="00780612">
        <w:rPr>
          <w:color w:val="666666"/>
        </w:rPr>
        <w:t>I</w:t>
      </w:r>
      <w:r>
        <w:rPr>
          <w:color w:val="666666"/>
        </w:rPr>
        <w:t>. International Applied Statistics Congress (UYIK-202</w:t>
      </w:r>
      <w:r w:rsidR="00780612">
        <w:rPr>
          <w:color w:val="666666"/>
        </w:rPr>
        <w:t>6</w:t>
      </w:r>
      <w:r>
        <w:rPr>
          <w:color w:val="666666"/>
        </w:rPr>
        <w:t xml:space="preserve">) </w:t>
      </w:r>
      <w:r w:rsidR="00780612">
        <w:rPr>
          <w:color w:val="666666"/>
        </w:rPr>
        <w:t xml:space="preserve">Istanbul </w:t>
      </w:r>
      <w:r>
        <w:rPr>
          <w:color w:val="666666"/>
        </w:rPr>
        <w:t>/ T</w:t>
      </w:r>
      <w:r w:rsidR="00A1797B">
        <w:rPr>
          <w:color w:val="666666"/>
        </w:rPr>
        <w:t>ürkiye</w:t>
      </w:r>
      <w:r>
        <w:rPr>
          <w:color w:val="666666"/>
        </w:rPr>
        <w:t xml:space="preserve">, </w:t>
      </w:r>
      <w:r w:rsidR="00E47457">
        <w:rPr>
          <w:color w:val="666666"/>
        </w:rPr>
        <w:t xml:space="preserve">May </w:t>
      </w:r>
      <w:r w:rsidR="00A1797B">
        <w:rPr>
          <w:color w:val="666666"/>
        </w:rPr>
        <w:t>1</w:t>
      </w:r>
      <w:r w:rsidR="002064E4">
        <w:rPr>
          <w:color w:val="666666"/>
        </w:rPr>
        <w:t>1</w:t>
      </w:r>
      <w:r>
        <w:rPr>
          <w:color w:val="666666"/>
        </w:rPr>
        <w:t>-</w:t>
      </w:r>
      <w:r w:rsidR="00780612">
        <w:rPr>
          <w:color w:val="666666"/>
        </w:rPr>
        <w:t>1</w:t>
      </w:r>
      <w:r w:rsidR="002064E4">
        <w:rPr>
          <w:color w:val="666666"/>
        </w:rPr>
        <w:t>3</w:t>
      </w:r>
      <w:r w:rsidR="00E47457">
        <w:rPr>
          <w:color w:val="666666"/>
        </w:rPr>
        <w:t xml:space="preserve">, </w:t>
      </w:r>
      <w:r>
        <w:rPr>
          <w:color w:val="666666"/>
        </w:rPr>
        <w:t>202</w:t>
      </w:r>
      <w:r w:rsidR="00780612">
        <w:rPr>
          <w:color w:val="666666"/>
        </w:rPr>
        <w:t>6</w:t>
      </w:r>
    </w:p>
    <w:p w14:paraId="41E8282C" w14:textId="6CC9EB73" w:rsidR="00467EA4" w:rsidRDefault="008041FF">
      <w:pPr>
        <w:pStyle w:val="BodyText"/>
        <w:spacing w:before="6"/>
        <w:rPr>
          <w:b/>
          <w:i w:val="0"/>
          <w:sz w:val="10"/>
        </w:rPr>
      </w:pPr>
      <w:r>
        <w:rPr>
          <w:noProof/>
        </w:rPr>
        <mc:AlternateContent>
          <mc:Choice Requires="wps">
            <w:drawing>
              <wp:anchor distT="0" distB="0" distL="0" distR="0" simplePos="0" relativeHeight="251657728" behindDoc="1" locked="0" layoutInCell="1" allowOverlap="1" wp14:anchorId="6D713667" wp14:editId="10E2EDCF">
                <wp:simplePos x="0" y="0"/>
                <wp:positionH relativeFrom="page">
                  <wp:posOffset>880745</wp:posOffset>
                </wp:positionH>
                <wp:positionV relativeFrom="paragraph">
                  <wp:posOffset>104775</wp:posOffset>
                </wp:positionV>
                <wp:extent cx="5797550" cy="1270"/>
                <wp:effectExtent l="0" t="0" r="0" b="0"/>
                <wp:wrapTopAndBottom/>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7550" cy="1270"/>
                        </a:xfrm>
                        <a:custGeom>
                          <a:avLst/>
                          <a:gdLst>
                            <a:gd name="T0" fmla="+- 0 1387 1387"/>
                            <a:gd name="T1" fmla="*/ T0 w 9130"/>
                            <a:gd name="T2" fmla="+- 0 10517 1387"/>
                            <a:gd name="T3" fmla="*/ T2 w 9130"/>
                          </a:gdLst>
                          <a:ahLst/>
                          <a:cxnLst>
                            <a:cxn ang="0">
                              <a:pos x="T1" y="0"/>
                            </a:cxn>
                            <a:cxn ang="0">
                              <a:pos x="T3" y="0"/>
                            </a:cxn>
                          </a:cxnLst>
                          <a:rect l="0" t="0" r="r" b="b"/>
                          <a:pathLst>
                            <a:path w="9130">
                              <a:moveTo>
                                <a:pt x="0" y="0"/>
                              </a:moveTo>
                              <a:lnTo>
                                <a:pt x="913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BD998" id="Freeform 2" o:spid="_x0000_s1026" style="position:absolute;margin-left:69.35pt;margin-top:8.25pt;width:456.5pt;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" path="m,l9130,e" filled="f" strokeweight=".48pt">
                <v:path arrowok="t" o:connecttype="custom" o:connectlocs="0,0;5797550,0" o:connectangles="0,0"/>
                <w10:wrap type="topAndBottom" anchorx="page"/>
              </v:shape>
            </w:pict>
          </mc:Fallback>
        </mc:AlternateContent>
      </w:r>
    </w:p>
    <w:p w14:paraId="0259F375" w14:textId="77777777" w:rsidR="00467EA4" w:rsidRPr="00A1797B" w:rsidRDefault="00467EA4">
      <w:pPr>
        <w:pStyle w:val="BodyText"/>
        <w:spacing w:before="8"/>
        <w:rPr>
          <w:b/>
          <w:i w:val="0"/>
        </w:rPr>
      </w:pPr>
    </w:p>
    <w:p w14:paraId="01F651D8" w14:textId="78F1E425" w:rsidR="00467EA4" w:rsidRDefault="00BB09EC" w:rsidP="00BB09EC">
      <w:pPr>
        <w:pStyle w:val="BodyText"/>
        <w:spacing w:before="6"/>
        <w:jc w:val="center"/>
        <w:rPr>
          <w:b/>
          <w:i w:val="0"/>
          <w:color w:val="000000" w:themeColor="text1"/>
        </w:rPr>
      </w:pPr>
      <w:r w:rsidRPr="00BB09EC">
        <w:rPr>
          <w:b/>
          <w:i w:val="0"/>
          <w:color w:val="000000" w:themeColor="text1"/>
        </w:rPr>
        <w:t>Directional Forecasting of Pension Investment Funds: Evidence on the Majority Class Illusion from ARIMA, CNN, and LSTM Models</w:t>
      </w:r>
    </w:p>
    <w:p w14:paraId="72CA5A8C" w14:textId="77777777" w:rsidR="0043643E" w:rsidRDefault="0043643E" w:rsidP="00BB09EC">
      <w:pPr>
        <w:pStyle w:val="BodyText"/>
        <w:spacing w:before="6"/>
        <w:jc w:val="center"/>
        <w:rPr>
          <w:b/>
          <w:i w:val="0"/>
          <w:color w:val="000000" w:themeColor="text1"/>
        </w:rPr>
      </w:pPr>
    </w:p>
    <w:p w14:paraId="0CE92FBB" w14:textId="77777777" w:rsidR="00BB09EC" w:rsidRPr="00A1797B" w:rsidRDefault="00BB09EC" w:rsidP="00BB09EC">
      <w:pPr>
        <w:pStyle w:val="BodyText"/>
        <w:spacing w:before="6"/>
        <w:jc w:val="center"/>
        <w:rPr>
          <w:b/>
          <w:i w:val="0"/>
        </w:rPr>
      </w:pPr>
    </w:p>
    <w:p w14:paraId="61AE6A7D" w14:textId="2EA730D2" w:rsidR="00467EA4" w:rsidRPr="00A1797B" w:rsidRDefault="00C064C4">
      <w:pPr>
        <w:ind w:left="1"/>
        <w:jc w:val="center"/>
        <w:rPr>
          <w:b/>
        </w:rPr>
      </w:pPr>
      <w:r w:rsidRPr="00C064C4">
        <w:rPr>
          <w:b/>
          <w:u w:val="single"/>
        </w:rPr>
        <w:t>Şevval Demir</w:t>
      </w:r>
      <w:r w:rsidR="00A1797B" w:rsidRPr="00C064C4">
        <w:rPr>
          <w:b/>
          <w:u w:val="single"/>
          <w:vertAlign w:val="superscript"/>
        </w:rPr>
        <w:t>1</w:t>
      </w:r>
      <w:r w:rsidRPr="00A1797B">
        <w:rPr>
          <w:b/>
        </w:rPr>
        <w:t xml:space="preserve">, </w:t>
      </w:r>
      <w:r w:rsidRPr="00BB1FE6">
        <w:rPr>
          <w:b/>
        </w:rPr>
        <w:t>Mehmet Ali Kurt</w:t>
      </w:r>
      <w:r w:rsidR="00DE0BA1">
        <w:rPr>
          <w:b/>
          <w:vertAlign w:val="superscript"/>
        </w:rPr>
        <w:t>1</w:t>
      </w:r>
      <w:r w:rsidRPr="00A1797B">
        <w:rPr>
          <w:b/>
        </w:rPr>
        <w:t xml:space="preserve">, </w:t>
      </w:r>
      <w:r>
        <w:rPr>
          <w:b/>
        </w:rPr>
        <w:t>Övgücan Karadağ Erdemir</w:t>
      </w:r>
      <w:r w:rsidR="00DE0BA1">
        <w:rPr>
          <w:b/>
          <w:vertAlign w:val="superscript"/>
        </w:rPr>
        <w:t>1*</w:t>
      </w:r>
    </w:p>
    <w:p w14:paraId="737E2B6C" w14:textId="77777777" w:rsidR="00E47457" w:rsidRDefault="00E47457" w:rsidP="00E47457"/>
    <w:p w14:paraId="0019C47D" w14:textId="2F387F7B" w:rsidR="00E47457" w:rsidRDefault="00E47457" w:rsidP="00E47457">
      <w:pPr>
        <w:jc w:val="center"/>
        <w:rPr>
          <w:spacing w:val="-3"/>
        </w:rPr>
      </w:pPr>
      <w:r w:rsidRPr="00E47457">
        <w:rPr>
          <w:vertAlign w:val="superscript"/>
        </w:rPr>
        <w:t>1</w:t>
      </w:r>
      <w:r w:rsidR="006918E6">
        <w:rPr>
          <w:vertAlign w:val="superscript"/>
        </w:rPr>
        <w:t xml:space="preserve"> </w:t>
      </w:r>
      <w:r w:rsidR="006918E6">
        <w:t>Hacettepe University</w:t>
      </w:r>
      <w:r w:rsidRPr="00A1797B">
        <w:t>,</w:t>
      </w:r>
      <w:r w:rsidRPr="00A1797B">
        <w:rPr>
          <w:spacing w:val="-8"/>
        </w:rPr>
        <w:t xml:space="preserve"> </w:t>
      </w:r>
      <w:r w:rsidRPr="00A1797B">
        <w:t>Faculty</w:t>
      </w:r>
      <w:r w:rsidRPr="00A1797B">
        <w:rPr>
          <w:spacing w:val="-10"/>
        </w:rPr>
        <w:t xml:space="preserve"> </w:t>
      </w:r>
      <w:r w:rsidRPr="00A1797B">
        <w:t>o</w:t>
      </w:r>
      <w:r w:rsidR="006918E6">
        <w:t>f Science</w:t>
      </w:r>
      <w:r w:rsidRPr="00A1797B">
        <w:t>,</w:t>
      </w:r>
      <w:r w:rsidRPr="00A1797B">
        <w:rPr>
          <w:spacing w:val="-5"/>
        </w:rPr>
        <w:t xml:space="preserve"> </w:t>
      </w:r>
      <w:r w:rsidRPr="00A1797B">
        <w:t>Department</w:t>
      </w:r>
      <w:r w:rsidR="006918E6">
        <w:t xml:space="preserve"> of Actuarial Science</w:t>
      </w:r>
      <w:r w:rsidRPr="00A1797B">
        <w:t>,</w:t>
      </w:r>
      <w:r w:rsidRPr="00A1797B">
        <w:rPr>
          <w:spacing w:val="-5"/>
        </w:rPr>
        <w:t xml:space="preserve"> </w:t>
      </w:r>
      <w:r w:rsidR="006918E6">
        <w:rPr>
          <w:spacing w:val="-3"/>
        </w:rPr>
        <w:t>Türkiye</w:t>
      </w:r>
    </w:p>
    <w:p w14:paraId="0A49B759" w14:textId="77777777" w:rsidR="00467EA4" w:rsidRPr="00A1797B" w:rsidRDefault="00467EA4">
      <w:pPr>
        <w:pStyle w:val="BodyText"/>
        <w:spacing w:before="8"/>
        <w:rPr>
          <w:i w:val="0"/>
        </w:rPr>
      </w:pPr>
    </w:p>
    <w:p w14:paraId="490B80D6" w14:textId="072E2E01" w:rsidR="00467EA4" w:rsidRPr="00A1797B" w:rsidRDefault="00EC75D5">
      <w:pPr>
        <w:tabs>
          <w:tab w:val="left" w:leader="dot" w:pos="4297"/>
        </w:tabs>
        <w:ind w:left="5"/>
        <w:jc w:val="center"/>
      </w:pPr>
      <w:r w:rsidRPr="00A1797B">
        <w:t>*Corresponding author</w:t>
      </w:r>
      <w:r w:rsidRPr="00A1797B">
        <w:rPr>
          <w:spacing w:val="-17"/>
        </w:rPr>
        <w:t xml:space="preserve"> </w:t>
      </w:r>
      <w:r w:rsidRPr="00A1797B">
        <w:t>e-mail:</w:t>
      </w:r>
      <w:r w:rsidRPr="00A1797B">
        <w:rPr>
          <w:spacing w:val="-1"/>
        </w:rPr>
        <w:t xml:space="preserve"> </w:t>
      </w:r>
      <w:r w:rsidR="006918E6">
        <w:rPr>
          <w:spacing w:val="-3"/>
        </w:rPr>
        <w:t>ovgucan@hacettepe</w:t>
      </w:r>
      <w:r w:rsidR="00C064C4">
        <w:rPr>
          <w:spacing w:val="-4"/>
        </w:rPr>
        <w:t>.edu.tr</w:t>
      </w:r>
    </w:p>
    <w:p w14:paraId="595A71B9" w14:textId="77777777" w:rsidR="00467EA4" w:rsidRPr="00A1797B" w:rsidRDefault="00467EA4">
      <w:pPr>
        <w:pStyle w:val="BodyText"/>
        <w:spacing w:before="1"/>
        <w:rPr>
          <w:i w:val="0"/>
        </w:rPr>
      </w:pPr>
    </w:p>
    <w:p w14:paraId="7DC9BA31" w14:textId="77777777" w:rsidR="00467EA4" w:rsidRPr="00A1797B" w:rsidRDefault="00EC75D5">
      <w:pPr>
        <w:spacing w:before="1"/>
        <w:jc w:val="center"/>
        <w:rPr>
          <w:b/>
          <w:i/>
        </w:rPr>
      </w:pPr>
      <w:r w:rsidRPr="00A1797B">
        <w:rPr>
          <w:b/>
          <w:i/>
        </w:rPr>
        <w:t>Abstract</w:t>
      </w:r>
    </w:p>
    <w:p w14:paraId="3EF8F0E6" w14:textId="77777777" w:rsidR="00467EA4" w:rsidRPr="00A1797B" w:rsidRDefault="00467EA4">
      <w:pPr>
        <w:pStyle w:val="BodyText"/>
        <w:spacing w:before="9"/>
        <w:rPr>
          <w:b/>
        </w:rPr>
      </w:pPr>
    </w:p>
    <w:p w14:paraId="34819BE8" w14:textId="1F5A6BE2" w:rsidR="00872ABC" w:rsidRPr="00C064C4" w:rsidRDefault="00872ABC" w:rsidP="0093731D">
      <w:pPr>
        <w:spacing w:before="60" w:after="60"/>
        <w:jc w:val="both"/>
        <w:rPr>
          <w:i/>
          <w:iCs/>
        </w:rPr>
      </w:pPr>
      <w:r w:rsidRPr="00872ABC">
        <w:rPr>
          <w:i/>
          <w:iCs/>
        </w:rPr>
        <w:t>Private pension systems play a critical dual macroeconomic role by mobilizing long-term savings and alleviating fiscal pressure on public pay-as-you-go schemes. In Turkey, the Individual Pension System has experienced substantial growth, making the accurate forecasting of pension fund returns both an academic and practical necessity.</w:t>
      </w:r>
      <w:r>
        <w:rPr>
          <w:i/>
          <w:iCs/>
        </w:rPr>
        <w:t xml:space="preserve"> </w:t>
      </w:r>
      <w:r w:rsidRPr="00872ABC">
        <w:rPr>
          <w:i/>
          <w:iCs/>
        </w:rPr>
        <w:t>This study evaluates the directional forecasting performance of traditional statistical methods and deep learning models on Turkish individual pension investment funds obtained from TEFAS, using weekly data from April 2021 to April 2026. Specifically, three pension funds from Allianz Ya</w:t>
      </w:r>
      <w:r w:rsidR="006D1726">
        <w:rPr>
          <w:i/>
          <w:iCs/>
        </w:rPr>
        <w:t>s</w:t>
      </w:r>
      <w:r w:rsidRPr="00872ABC">
        <w:rPr>
          <w:i/>
          <w:iCs/>
        </w:rPr>
        <w:t>am</w:t>
      </w:r>
      <w:r w:rsidR="003A32C6">
        <w:rPr>
          <w:i/>
          <w:iCs/>
        </w:rPr>
        <w:t>-</w:t>
      </w:r>
      <w:r w:rsidRPr="00872ABC">
        <w:rPr>
          <w:i/>
          <w:iCs/>
        </w:rPr>
        <w:t>ALZ, AZS, and AMZ</w:t>
      </w:r>
      <w:r w:rsidR="003A32C6">
        <w:rPr>
          <w:i/>
          <w:iCs/>
        </w:rPr>
        <w:t>-</w:t>
      </w:r>
      <w:r w:rsidRPr="00872ABC">
        <w:rPr>
          <w:i/>
          <w:iCs/>
        </w:rPr>
        <w:t>are analyzed, representing low</w:t>
      </w:r>
      <w:r w:rsidR="008C2DDF">
        <w:rPr>
          <w:i/>
          <w:iCs/>
        </w:rPr>
        <w:t>-</w:t>
      </w:r>
      <w:r w:rsidRPr="00872ABC">
        <w:rPr>
          <w:i/>
          <w:iCs/>
        </w:rPr>
        <w:t>, medium</w:t>
      </w:r>
      <w:r w:rsidR="008C2DDF">
        <w:rPr>
          <w:i/>
          <w:iCs/>
        </w:rPr>
        <w:t>-</w:t>
      </w:r>
      <w:r w:rsidRPr="00872ABC">
        <w:rPr>
          <w:i/>
          <w:iCs/>
        </w:rPr>
        <w:t>, and high-risk profiles, respectively. The study adapts and extends the methodology of Van der Burgt (2023), originally developed for the NASDAQ 100 index, to the Turkish pension fund market.</w:t>
      </w:r>
      <w:r>
        <w:rPr>
          <w:i/>
          <w:iCs/>
        </w:rPr>
        <w:t xml:space="preserve"> </w:t>
      </w:r>
      <w:r w:rsidRPr="00872ABC">
        <w:rPr>
          <w:i/>
          <w:iCs/>
        </w:rPr>
        <w:t>Three model</w:t>
      </w:r>
      <w:r>
        <w:rPr>
          <w:i/>
          <w:iCs/>
        </w:rPr>
        <w:t xml:space="preserve">s </w:t>
      </w:r>
      <w:r w:rsidRPr="00872ABC">
        <w:rPr>
          <w:i/>
          <w:iCs/>
        </w:rPr>
        <w:t>were compared: the classical Autoregressive Integrated Moving Average (ARIMA) model and two deep learning architectures, namely Long Short-Term Memory (LSTM) networks and one-dimensional Convolutional Neural Networks (1D-CNN). More than 700 model configurations were trained and evaluated using multiple performance metrics, including Accuracy, Balanced Accuracy, Sensitivity, Specificity, F1-score, and binomial p-values.</w:t>
      </w:r>
      <w:r w:rsidR="00B72992">
        <w:rPr>
          <w:i/>
          <w:iCs/>
        </w:rPr>
        <w:t xml:space="preserve"> </w:t>
      </w:r>
      <w:r w:rsidR="00984D8B" w:rsidRPr="00984D8B">
        <w:rPr>
          <w:i/>
          <w:iCs/>
        </w:rPr>
        <w:t xml:space="preserve">The results reveal that the “Majority Class (MC) Illusion” is particularly pronounced in low-risk, monotonically trending funds such as ALZ, where high accuracy can be misleading. Importantly, </w:t>
      </w:r>
      <w:bookmarkStart w:id="0" w:name="_GoBack"/>
      <w:bookmarkEnd w:id="0"/>
      <w:r w:rsidR="00984D8B" w:rsidRPr="00984D8B">
        <w:rPr>
          <w:i/>
          <w:iCs/>
        </w:rPr>
        <w:t xml:space="preserve">CNN models exhibit consistently lower MC exposure rates than LSTM models across all risk categories. In the high-risk AMZ fund, the LSTM model with a full feature set </w:t>
      </w:r>
      <w:r w:rsidR="009F56F7" w:rsidRPr="009F56F7">
        <w:rPr>
          <w:i/>
          <w:iCs/>
        </w:rPr>
        <w:t>achieved</w:t>
      </w:r>
      <w:r w:rsidR="00984D8B" w:rsidRPr="00984D8B">
        <w:rPr>
          <w:i/>
          <w:iCs/>
        </w:rPr>
        <w:t xml:space="preserve"> statistically significant predictive performance, clearly outperforming the naive baseline.</w:t>
      </w:r>
      <w:r w:rsidR="00F05124">
        <w:rPr>
          <w:i/>
          <w:iCs/>
        </w:rPr>
        <w:t xml:space="preserve"> </w:t>
      </w:r>
      <w:r w:rsidR="00B72992" w:rsidRPr="00B72992">
        <w:rPr>
          <w:i/>
          <w:iCs/>
        </w:rPr>
        <w:t>Overall, the findings demonstrate that evaluating forecasting performance in pension funds requires careful consideration of class imbalance and risk structure, and that deep learning models</w:t>
      </w:r>
      <w:r w:rsidR="00B72992">
        <w:rPr>
          <w:i/>
          <w:iCs/>
        </w:rPr>
        <w:t xml:space="preserve">, </w:t>
      </w:r>
      <w:r w:rsidR="00B72992" w:rsidRPr="00B72992">
        <w:rPr>
          <w:i/>
          <w:iCs/>
        </w:rPr>
        <w:t>particularly CNN</w:t>
      </w:r>
      <w:r w:rsidR="00B72992">
        <w:rPr>
          <w:i/>
          <w:iCs/>
        </w:rPr>
        <w:t xml:space="preserve">, </w:t>
      </w:r>
      <w:r w:rsidR="00B72992" w:rsidRPr="00B72992">
        <w:rPr>
          <w:i/>
          <w:iCs/>
        </w:rPr>
        <w:t>offer more robust alternatives under these conditions.</w:t>
      </w:r>
    </w:p>
    <w:p w14:paraId="7FF9EA1A" w14:textId="77777777" w:rsidR="00C064C4" w:rsidRPr="00C064C4" w:rsidRDefault="00C064C4" w:rsidP="0093731D">
      <w:pPr>
        <w:spacing w:before="60" w:after="60"/>
        <w:jc w:val="both"/>
        <w:rPr>
          <w:i/>
          <w:iCs/>
        </w:rPr>
      </w:pPr>
    </w:p>
    <w:p w14:paraId="798BD83A" w14:textId="77777777" w:rsidR="00C064C4" w:rsidRDefault="00C064C4" w:rsidP="00C064C4">
      <w:pPr>
        <w:spacing w:before="60" w:after="60"/>
      </w:pPr>
    </w:p>
    <w:p w14:paraId="1A5E09A7" w14:textId="2CFE43D8" w:rsidR="00C064C4" w:rsidRDefault="00EC75D5" w:rsidP="00C064C4">
      <w:pPr>
        <w:spacing w:after="60"/>
      </w:pPr>
      <w:r w:rsidRPr="00A1797B">
        <w:rPr>
          <w:b/>
        </w:rPr>
        <w:t>Keywords:</w:t>
      </w:r>
      <w:r w:rsidR="002D4D6A">
        <w:rPr>
          <w:b/>
        </w:rPr>
        <w:t xml:space="preserve"> </w:t>
      </w:r>
      <w:r w:rsidR="002D4D6A" w:rsidRPr="00C064C4">
        <w:rPr>
          <w:i/>
          <w:iCs/>
        </w:rPr>
        <w:t xml:space="preserve">Time Series </w:t>
      </w:r>
      <w:r w:rsidR="002D4D6A">
        <w:rPr>
          <w:i/>
          <w:iCs/>
        </w:rPr>
        <w:t xml:space="preserve">Analysis, </w:t>
      </w:r>
      <w:r w:rsidR="002D4D6A" w:rsidRPr="00C064C4">
        <w:rPr>
          <w:i/>
          <w:iCs/>
        </w:rPr>
        <w:t>Deep Learning</w:t>
      </w:r>
      <w:r w:rsidR="002D4D6A">
        <w:rPr>
          <w:i/>
          <w:iCs/>
        </w:rPr>
        <w:t xml:space="preserve">, </w:t>
      </w:r>
      <w:r w:rsidR="00C064C4" w:rsidRPr="00C064C4">
        <w:rPr>
          <w:i/>
          <w:iCs/>
        </w:rPr>
        <w:t xml:space="preserve">ARIMA, LSTM, CNN, </w:t>
      </w:r>
      <w:r w:rsidR="002D4D6A" w:rsidRPr="002D4D6A">
        <w:rPr>
          <w:i/>
          <w:iCs/>
        </w:rPr>
        <w:t>Pension Investment Fund</w:t>
      </w:r>
    </w:p>
    <w:p w14:paraId="1060D251" w14:textId="24A5037E" w:rsidR="00467EA4" w:rsidRPr="00A1797B" w:rsidRDefault="00467EA4" w:rsidP="00A1797B">
      <w:pPr>
        <w:pStyle w:val="BodyText"/>
        <w:spacing w:line="276" w:lineRule="auto"/>
        <w:ind w:right="131"/>
        <w:jc w:val="both"/>
      </w:pPr>
    </w:p>
    <w:sectPr w:rsidR="00467EA4" w:rsidRPr="00A1797B">
      <w:type w:val="continuous"/>
      <w:pgSz w:w="11920" w:h="16850"/>
      <w:pgMar w:top="480" w:right="1280" w:bottom="280" w:left="128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6AAB0A" w14:textId="77777777" w:rsidR="00B17C9D" w:rsidRDefault="00B17C9D" w:rsidP="00780612">
      <w:r>
        <w:separator/>
      </w:r>
    </w:p>
  </w:endnote>
  <w:endnote w:type="continuationSeparator" w:id="0">
    <w:p w14:paraId="08CC7D26" w14:textId="77777777" w:rsidR="00B17C9D" w:rsidRDefault="00B17C9D" w:rsidP="00780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999CEE" w14:textId="77777777" w:rsidR="00B17C9D" w:rsidRDefault="00B17C9D" w:rsidP="00780612">
      <w:r>
        <w:separator/>
      </w:r>
    </w:p>
  </w:footnote>
  <w:footnote w:type="continuationSeparator" w:id="0">
    <w:p w14:paraId="6814693E" w14:textId="77777777" w:rsidR="00B17C9D" w:rsidRDefault="00B17C9D" w:rsidP="007806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EA4"/>
    <w:rsid w:val="0003171D"/>
    <w:rsid w:val="00081AE3"/>
    <w:rsid w:val="000A0B01"/>
    <w:rsid w:val="002064E4"/>
    <w:rsid w:val="002D4D6A"/>
    <w:rsid w:val="00395546"/>
    <w:rsid w:val="003A32C6"/>
    <w:rsid w:val="0043643E"/>
    <w:rsid w:val="00467EA4"/>
    <w:rsid w:val="00584D1C"/>
    <w:rsid w:val="005D6516"/>
    <w:rsid w:val="00653183"/>
    <w:rsid w:val="006918E6"/>
    <w:rsid w:val="00694DF1"/>
    <w:rsid w:val="006C0DB8"/>
    <w:rsid w:val="006D1726"/>
    <w:rsid w:val="006E452A"/>
    <w:rsid w:val="00751B21"/>
    <w:rsid w:val="00780612"/>
    <w:rsid w:val="008041FF"/>
    <w:rsid w:val="00856723"/>
    <w:rsid w:val="00872ABC"/>
    <w:rsid w:val="00890116"/>
    <w:rsid w:val="008C2DDF"/>
    <w:rsid w:val="0093731D"/>
    <w:rsid w:val="00965474"/>
    <w:rsid w:val="00984D8B"/>
    <w:rsid w:val="009F56F7"/>
    <w:rsid w:val="00A1797B"/>
    <w:rsid w:val="00B012CD"/>
    <w:rsid w:val="00B17C9D"/>
    <w:rsid w:val="00B72992"/>
    <w:rsid w:val="00BB09EC"/>
    <w:rsid w:val="00BB1FE6"/>
    <w:rsid w:val="00BC35B9"/>
    <w:rsid w:val="00C064C4"/>
    <w:rsid w:val="00D403D8"/>
    <w:rsid w:val="00DE0BA1"/>
    <w:rsid w:val="00E11057"/>
    <w:rsid w:val="00E47457"/>
    <w:rsid w:val="00EC75D5"/>
    <w:rsid w:val="00EE67E2"/>
    <w:rsid w:val="00F05124"/>
    <w:rsid w:val="00F56B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A3F0"/>
  <w15:docId w15:val="{04A3167B-9002-454C-A45D-A5C6DD8A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tr-TR" w:eastAsia="tr-TR" w:bidi="tr-TR"/>
    </w:rPr>
  </w:style>
  <w:style w:type="paragraph" w:styleId="Heading1">
    <w:name w:val="heading 1"/>
    <w:basedOn w:val="Normal"/>
    <w:uiPriority w:val="9"/>
    <w:qFormat/>
    <w:pPr>
      <w:ind w:hanging="1326"/>
      <w:outlineLvl w:val="0"/>
    </w:pPr>
    <w:rPr>
      <w:b/>
      <w:bCs/>
      <w:sz w:val="24"/>
      <w:szCs w:val="24"/>
    </w:rPr>
  </w:style>
  <w:style w:type="paragraph" w:styleId="Heading2">
    <w:name w:val="heading 2"/>
    <w:basedOn w:val="Normal"/>
    <w:uiPriority w:val="9"/>
    <w:unhideWhenUsed/>
    <w:qFormat/>
    <w:pPr>
      <w:ind w:left="5"/>
      <w:jc w:val="cente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0612"/>
    <w:pPr>
      <w:tabs>
        <w:tab w:val="center" w:pos="4536"/>
        <w:tab w:val="right" w:pos="9072"/>
      </w:tabs>
    </w:pPr>
  </w:style>
  <w:style w:type="character" w:customStyle="1" w:styleId="HeaderChar">
    <w:name w:val="Header Char"/>
    <w:basedOn w:val="DefaultParagraphFont"/>
    <w:link w:val="Header"/>
    <w:uiPriority w:val="99"/>
    <w:rsid w:val="00780612"/>
    <w:rPr>
      <w:rFonts w:ascii="Times New Roman" w:eastAsia="Times New Roman" w:hAnsi="Times New Roman" w:cs="Times New Roman"/>
      <w:lang w:val="tr-TR" w:eastAsia="tr-TR" w:bidi="tr-TR"/>
    </w:rPr>
  </w:style>
  <w:style w:type="paragraph" w:styleId="Footer">
    <w:name w:val="footer"/>
    <w:basedOn w:val="Normal"/>
    <w:link w:val="FooterChar"/>
    <w:uiPriority w:val="99"/>
    <w:unhideWhenUsed/>
    <w:rsid w:val="00780612"/>
    <w:pPr>
      <w:tabs>
        <w:tab w:val="center" w:pos="4536"/>
        <w:tab w:val="right" w:pos="9072"/>
      </w:tabs>
    </w:pPr>
  </w:style>
  <w:style w:type="character" w:customStyle="1" w:styleId="FooterChar">
    <w:name w:val="Footer Char"/>
    <w:basedOn w:val="DefaultParagraphFont"/>
    <w:link w:val="Footer"/>
    <w:uiPriority w:val="99"/>
    <w:rsid w:val="00780612"/>
    <w:rPr>
      <w:rFonts w:ascii="Times New Roman" w:eastAsia="Times New Roman" w:hAnsi="Times New Roman" w:cs="Times New Roman"/>
      <w:lang w:val="tr-TR" w:eastAsia="tr-TR" w:bidi="tr-TR"/>
    </w:rPr>
  </w:style>
  <w:style w:type="character" w:styleId="CommentReference">
    <w:name w:val="annotation reference"/>
    <w:basedOn w:val="DefaultParagraphFont"/>
    <w:uiPriority w:val="99"/>
    <w:semiHidden/>
    <w:unhideWhenUsed/>
    <w:rsid w:val="00C064C4"/>
    <w:rPr>
      <w:sz w:val="16"/>
      <w:szCs w:val="16"/>
    </w:rPr>
  </w:style>
  <w:style w:type="paragraph" w:styleId="CommentText">
    <w:name w:val="annotation text"/>
    <w:basedOn w:val="Normal"/>
    <w:link w:val="CommentTextChar"/>
    <w:uiPriority w:val="99"/>
    <w:semiHidden/>
    <w:unhideWhenUsed/>
    <w:rsid w:val="00C064C4"/>
    <w:pPr>
      <w:widowControl/>
      <w:autoSpaceDE/>
      <w:autoSpaceDN/>
    </w:pPr>
    <w:rPr>
      <w:sz w:val="20"/>
      <w:szCs w:val="20"/>
      <w:lang w:val="en-US" w:eastAsia="en-US" w:bidi="ar-SA"/>
    </w:rPr>
  </w:style>
  <w:style w:type="character" w:customStyle="1" w:styleId="CommentTextChar">
    <w:name w:val="Comment Text Char"/>
    <w:basedOn w:val="DefaultParagraphFont"/>
    <w:link w:val="CommentText"/>
    <w:uiPriority w:val="99"/>
    <w:semiHidden/>
    <w:rsid w:val="00C064C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373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731D"/>
    <w:rPr>
      <w:rFonts w:ascii="Segoe UI" w:eastAsia="Times New Roman" w:hAnsi="Segoe UI" w:cs="Segoe UI"/>
      <w:sz w:val="18"/>
      <w:szCs w:val="18"/>
      <w:lang w:val="tr-TR" w:eastAsia="tr-TR" w:bidi="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383</Words>
  <Characters>2187</Characters>
  <Application>Microsoft Office Word</Application>
  <DocSecurity>0</DocSecurity>
  <Lines>18</Lines>
  <Paragraphs>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Silentall Unattended Installer</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ONİX BİLGİSAYAR</dc:creator>
  <cp:lastModifiedBy>Hakem</cp:lastModifiedBy>
  <cp:revision>3</cp:revision>
  <dcterms:created xsi:type="dcterms:W3CDTF">2026-04-26T12:06:00Z</dcterms:created>
  <dcterms:modified xsi:type="dcterms:W3CDTF">2026-04-26T12:10:00Z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2024-01-02T00:00:00Z</vt:filetime>
  </property>
  <property fmtid="{D5CDD505-2E9C-101B-9397-08002B2CF9AE}" pid="3" name="Creator">
    <vt:lpwstr>Microsoft® Word 2016</vt:lpwstr>
  </property>
  <property fmtid="{D5CDD505-2E9C-101B-9397-08002B2CF9AE}" pid="4" name="LastSaved">
    <vt:filetime>2024-03-19T00:00:00Z</vt:filetime>
  </property>
</Properties>
</file>