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pPr>
        <w:jc w:val="center"/>
      </w:pPr>
      <w:r>
        <w:drawing>
          <wp:inline xmlns:a="http://schemas.openxmlformats.org/drawingml/2006/main" xmlns:pic="http://schemas.openxmlformats.org/drawingml/2006/picture">
            <wp:extent cx="2377440" cy="2277526"/>
            <wp:docPr id="1" name="Picture 1"/>
            <wp:cNvGraphicFramePr>
              <a:graphicFrameLocks noChangeAspect="1"/>
            </wp:cNvGraphicFramePr>
            <a:graphic>
              <a:graphicData uri="http://schemas.openxmlformats.org/drawingml/2006/picture">
                <pic:pic>
                  <pic:nvPicPr>
                    <pic:cNvPr id="0" name="kuwala-logo.jpg"/>
                    <pic:cNvPicPr/>
                  </pic:nvPicPr>
                  <pic:blipFill>
                    <a:blip r:embed="rId10"/>
                    <a:stretch>
                      <a:fillRect/>
                    </a:stretch>
                  </pic:blipFill>
                  <pic:spPr>
                    <a:xfrm>
                      <a:off x="0" y="0"/>
                      <a:ext cx="2377440" cy="2277526"/>
                    </a:xfrm>
                    <a:prstGeom prst="rect"/>
                  </pic:spPr>
                </pic:pic>
              </a:graphicData>
            </a:graphic>
          </wp:inline>
        </w:drawing>
      </w:r>
    </w:p>
    <w:p>
      <w:pPr>
        <w:pStyle w:val="Title"/>
        <w:jc w:val="center"/>
      </w:pPr>
      <w:r>
        <w:t>Telecom Customer Churn and Retention Analysis</w:t>
      </w:r>
    </w:p>
    <w:p>
      <w:pPr>
        <w:spacing w:after="600"/>
        <w:jc w:val="center"/>
      </w:pPr>
      <w:r>
        <w:rPr>
          <w:b w:val="0"/>
          <w:i w:val="0"/>
          <w:color w:val="6B7588"/>
          <w:sz w:val="28"/>
        </w:rPr>
        <w:t>Who is leaving, what it costs, and who to call first</w:t>
      </w:r>
    </w:p>
    <w:p>
      <w:pPr>
        <w:spacing w:after="40"/>
        <w:jc w:val="center"/>
      </w:pPr>
      <w:r>
        <w:rPr>
          <w:b/>
          <w:i w:val="0"/>
          <w:sz w:val="26"/>
        </w:rPr>
        <w:t>Client Report</w:t>
      </w:r>
    </w:p>
    <w:p>
      <w:pPr>
        <w:spacing w:after="40"/>
        <w:jc w:val="center"/>
      </w:pPr>
      <w:r>
        <w:rPr>
          <w:b w:val="0"/>
          <w:i w:val="0"/>
          <w:sz w:val="24"/>
        </w:rPr>
        <w:t>Prepared by Kuwala Analytics</w:t>
      </w:r>
    </w:p>
    <w:p>
      <w:pPr>
        <w:spacing w:after="1200"/>
        <w:jc w:val="center"/>
      </w:pPr>
      <w:r>
        <w:rPr>
          <w:b w:val="0"/>
          <w:i w:val="0"/>
          <w:color w:val="6B7588"/>
          <w:sz w:val="24"/>
        </w:rPr>
        <w:t>13 October 2026</w:t>
      </w:r>
    </w:p>
    <w:tbl>
      <w:tblPr>
        <w:tblW w:type="auto" w:w="0"/>
        <w:jc w:val="center"/>
        <w:tblLook w:firstColumn="1" w:firstRow="1" w:lastColumn="0" w:lastRow="0" w:noHBand="0" w:noVBand="1" w:val="04A0"/>
      </w:tblPr>
      <w:tblGrid>
        <w:gridCol w:w="9317"/>
      </w:tblGrid>
      <w:tr>
        <w:tc>
          <w:tcPr>
            <w:tcW w:type="dxa" w:w="9317"/>
            <w:shd w:val="clear" w:color="auto" w:fill="FFF6D6"/>
          </w:tcPr>
          <w:p>
            <w:r/>
            <w:r>
              <w:rPr>
                <w:b/>
              </w:rPr>
              <w:t xml:space="preserve">About this report. </w:t>
            </w:r>
            <w:r>
              <w:t>This is a demonstration report. It uses the public IBM Telco Customer Churn sample dataset to show how Kuwala Analytics approaches a churn problem. It is not a real client's data, and the figures are not results achieved for any client. Amounts are in US dollars, as in the dataset.</w:t>
            </w:r>
          </w:p>
        </w:tc>
      </w:tr>
    </w:tbl>
    <w:p>
      <w:pPr>
        <w:pStyle w:val="Heading1"/>
        <w:pageBreakBefore/>
      </w:pPr>
      <w:r>
        <w:t>1. Executive Summary</w:t>
      </w:r>
    </w:p>
    <w:p>
      <w:r>
        <w:rPr>
          <w:b w:val="0"/>
          <w:i w:val="0"/>
        </w:rPr>
        <w:t>This report answers four questions a telecom or subscription business needs answered: how many customers are leaving and what it costs, which kinds of customers leave most, which individual customers to contact first, and what it is worth to keep some of them.</w:t>
      </w:r>
    </w:p>
    <w:tbl>
      <w:tblPr>
        <w:tblStyle w:val="TableGrid"/>
        <w:tblW w:type="auto" w:w="0"/>
        <w:jc w:val="center"/>
        <w:tblLayout w:type="fixed"/>
        <w:tblLook w:firstColumn="1" w:firstRow="1" w:lastColumn="0" w:lastRow="0" w:noHBand="0" w:noVBand="1" w:val="04A0"/>
      </w:tblPr>
      <w:tblGrid>
        <w:gridCol w:w="5616"/>
        <w:gridCol w:w="3600"/>
      </w:tblGrid>
      <w:tr>
        <w:tc>
          <w:tcPr>
            <w:tcW w:type="dxa" w:w="5616"/>
            <w:shd w:val="clear" w:color="auto" w:fill="14213D"/>
          </w:tcPr>
          <w:p>
            <w:pPr>
              <w:keepNext/>
              <w:spacing w:after="40" w:before="40"/>
            </w:pPr>
            <w:r/>
            <w:r>
              <w:rPr>
                <w:b/>
                <w:color w:val="FFFFFF"/>
                <w:sz w:val="19"/>
              </w:rPr>
              <w:t>Measure</w:t>
            </w:r>
          </w:p>
        </w:tc>
        <w:tc>
          <w:tcPr>
            <w:tcW w:type="dxa" w:w="3600"/>
            <w:shd w:val="clear" w:color="auto" w:fill="14213D"/>
          </w:tcPr>
          <w:p>
            <w:pPr>
              <w:keepNext/>
              <w:spacing w:after="40" w:before="40"/>
            </w:pPr>
            <w:r/>
            <w:r>
              <w:rPr>
                <w:b/>
                <w:color w:val="FFFFFF"/>
                <w:sz w:val="19"/>
              </w:rPr>
              <w:t>Result</w:t>
            </w:r>
          </w:p>
        </w:tc>
      </w:tr>
      <w:tr>
        <w:tc>
          <w:tcPr>
            <w:tcW w:type="dxa" w:w="5616"/>
          </w:tcPr>
          <w:p>
            <w:pPr>
              <w:keepNext/>
              <w:spacing w:after="40" w:before="40"/>
            </w:pPr>
            <w:r/>
            <w:r>
              <w:rPr>
                <w:sz w:val="19"/>
              </w:rPr>
              <w:t>Customers analysed</w:t>
            </w:r>
          </w:p>
        </w:tc>
        <w:tc>
          <w:tcPr>
            <w:tcW w:type="dxa" w:w="3600"/>
          </w:tcPr>
          <w:p>
            <w:pPr>
              <w:keepNext/>
              <w:spacing w:after="40" w:before="40"/>
              <w:jc w:val="right"/>
            </w:pPr>
            <w:r/>
            <w:r>
              <w:rPr>
                <w:sz w:val="19"/>
              </w:rPr>
              <w:t>7,043</w:t>
            </w:r>
          </w:p>
        </w:tc>
      </w:tr>
      <w:tr>
        <w:tc>
          <w:tcPr>
            <w:tcW w:type="dxa" w:w="5616"/>
            <w:shd w:val="clear" w:color="auto" w:fill="F3F5FA"/>
          </w:tcPr>
          <w:p>
            <w:pPr>
              <w:keepNext/>
              <w:spacing w:after="40" w:before="40"/>
            </w:pPr>
            <w:r/>
            <w:r>
              <w:rPr>
                <w:sz w:val="19"/>
              </w:rPr>
              <w:t>Churn rate (left in the last month)</w:t>
            </w:r>
          </w:p>
        </w:tc>
        <w:tc>
          <w:tcPr>
            <w:tcW w:type="dxa" w:w="3600"/>
            <w:shd w:val="clear" w:color="auto" w:fill="F3F5FA"/>
          </w:tcPr>
          <w:p>
            <w:pPr>
              <w:keepNext/>
              <w:spacing w:after="40" w:before="40"/>
              <w:jc w:val="right"/>
            </w:pPr>
            <w:r/>
            <w:r>
              <w:rPr>
                <w:sz w:val="19"/>
              </w:rPr>
              <w:t>26.5% (1,869 customers)</w:t>
            </w:r>
          </w:p>
        </w:tc>
      </w:tr>
      <w:tr>
        <w:tc>
          <w:tcPr>
            <w:tcW w:type="dxa" w:w="5616"/>
          </w:tcPr>
          <w:p>
            <w:pPr>
              <w:keepNext/>
              <w:spacing w:after="40" w:before="40"/>
            </w:pPr>
            <w:r/>
            <w:r>
              <w:rPr>
                <w:sz w:val="19"/>
              </w:rPr>
              <w:t>Retention rate</w:t>
            </w:r>
          </w:p>
        </w:tc>
        <w:tc>
          <w:tcPr>
            <w:tcW w:type="dxa" w:w="3600"/>
          </w:tcPr>
          <w:p>
            <w:pPr>
              <w:keepNext/>
              <w:spacing w:after="40" w:before="40"/>
              <w:jc w:val="right"/>
            </w:pPr>
            <w:r/>
            <w:r>
              <w:rPr>
                <w:sz w:val="19"/>
              </w:rPr>
              <w:t>73.5%</w:t>
            </w:r>
          </w:p>
        </w:tc>
      </w:tr>
      <w:tr>
        <w:tc>
          <w:tcPr>
            <w:tcW w:type="dxa" w:w="5616"/>
            <w:shd w:val="clear" w:color="auto" w:fill="F3F5FA"/>
          </w:tcPr>
          <w:p>
            <w:pPr>
              <w:keepNext/>
              <w:spacing w:after="40" w:before="40"/>
            </w:pPr>
            <w:r/>
            <w:r>
              <w:rPr>
                <w:sz w:val="19"/>
              </w:rPr>
              <w:t>Monthly revenue lost to churn</w:t>
            </w:r>
          </w:p>
        </w:tc>
        <w:tc>
          <w:tcPr>
            <w:tcW w:type="dxa" w:w="3600"/>
            <w:shd w:val="clear" w:color="auto" w:fill="F3F5FA"/>
          </w:tcPr>
          <w:p>
            <w:pPr>
              <w:keepNext/>
              <w:spacing w:after="40" w:before="40"/>
              <w:jc w:val="right"/>
            </w:pPr>
            <w:r/>
            <w:r>
              <w:rPr>
                <w:sz w:val="19"/>
              </w:rPr>
              <w:t>$139,131 (30.5% of monthly billing)</w:t>
            </w:r>
          </w:p>
        </w:tc>
      </w:tr>
      <w:tr>
        <w:tc>
          <w:tcPr>
            <w:tcW w:type="dxa" w:w="5616"/>
          </w:tcPr>
          <w:p>
            <w:pPr>
              <w:keepNext/>
              <w:spacing w:after="40" w:before="40"/>
            </w:pPr>
            <w:r/>
            <w:r>
              <w:rPr>
                <w:sz w:val="19"/>
              </w:rPr>
              <w:t>Average monthly charge</w:t>
            </w:r>
          </w:p>
        </w:tc>
        <w:tc>
          <w:tcPr>
            <w:tcW w:type="dxa" w:w="3600"/>
          </w:tcPr>
          <w:p>
            <w:pPr>
              <w:keepNext/>
              <w:spacing w:after="40" w:before="40"/>
              <w:jc w:val="right"/>
            </w:pPr>
            <w:r/>
            <w:r>
              <w:rPr>
                <w:sz w:val="19"/>
              </w:rPr>
              <w:t>$64.76</w:t>
            </w:r>
          </w:p>
        </w:tc>
      </w:tr>
      <w:tr>
        <w:tc>
          <w:tcPr>
            <w:tcW w:type="dxa" w:w="5616"/>
            <w:shd w:val="clear" w:color="auto" w:fill="F3F5FA"/>
          </w:tcPr>
          <w:p>
            <w:pPr>
              <w:keepNext/>
              <w:spacing w:after="40" w:before="40"/>
            </w:pPr>
            <w:r/>
            <w:r>
              <w:rPr>
                <w:sz w:val="19"/>
              </w:rPr>
              <w:t>Average tenure</w:t>
            </w:r>
          </w:p>
        </w:tc>
        <w:tc>
          <w:tcPr>
            <w:tcW w:type="dxa" w:w="3600"/>
            <w:shd w:val="clear" w:color="auto" w:fill="F3F5FA"/>
          </w:tcPr>
          <w:p>
            <w:pPr>
              <w:keepNext/>
              <w:spacing w:after="40" w:before="40"/>
              <w:jc w:val="right"/>
            </w:pPr>
            <w:r/>
            <w:r>
              <w:rPr>
                <w:sz w:val="19"/>
              </w:rPr>
              <w:t>32.4 months</w:t>
            </w:r>
          </w:p>
        </w:tc>
      </w:tr>
      <w:tr>
        <w:tc>
          <w:tcPr>
            <w:tcW w:type="dxa" w:w="5616"/>
          </w:tcPr>
          <w:p>
            <w:pPr>
              <w:keepNext w:val="0"/>
              <w:spacing w:after="40" w:before="40"/>
            </w:pPr>
            <w:r/>
            <w:r>
              <w:rPr>
                <w:sz w:val="19"/>
              </w:rPr>
              <w:t>Customer lifetime value to date (avg monthly charge x avg tenure)</w:t>
            </w:r>
          </w:p>
        </w:tc>
        <w:tc>
          <w:tcPr>
            <w:tcW w:type="dxa" w:w="3600"/>
          </w:tcPr>
          <w:p>
            <w:pPr>
              <w:keepNext w:val="0"/>
              <w:spacing w:after="40" w:before="40"/>
              <w:jc w:val="right"/>
            </w:pPr>
            <w:r/>
            <w:r>
              <w:rPr>
                <w:sz w:val="19"/>
              </w:rPr>
              <w:t>$2,096</w:t>
            </w:r>
          </w:p>
        </w:tc>
      </w:tr>
    </w:tbl>
    <w:p>
      <w:pPr>
        <w:spacing w:after="40"/>
      </w:pPr>
    </w:p>
    <w:p>
      <w:pPr>
        <w:pStyle w:val="Heading2"/>
      </w:pPr>
      <w:r>
        <w:t>What we found</w:t>
      </w:r>
    </w:p>
    <w:p>
      <w:pPr>
        <w:pStyle w:val="ListBullet"/>
      </w:pPr>
      <w:r>
        <w:rPr>
          <w:b/>
        </w:rPr>
        <w:t xml:space="preserve">Contract type is the strongest signal. </w:t>
      </w:r>
      <w:r>
        <w:rPr>
          <w:b w:val="0"/>
        </w:rPr>
        <w:t>Month-to-month customers churn at 42.7%, against 2.8% on two year contracts.</w:t>
      </w:r>
    </w:p>
    <w:p>
      <w:pPr>
        <w:pStyle w:val="ListBullet"/>
      </w:pPr>
      <w:r>
        <w:rPr>
          <w:b/>
        </w:rPr>
        <w:t xml:space="preserve">The first six months are the danger zone. </w:t>
      </w:r>
      <w:r>
        <w:rPr>
          <w:b w:val="0"/>
        </w:rPr>
        <w:t>52.9% of customers in their first 6 months leave.</w:t>
      </w:r>
    </w:p>
    <w:p>
      <w:pPr>
        <w:pStyle w:val="ListBullet"/>
      </w:pPr>
      <w:r>
        <w:rPr>
          <w:b/>
        </w:rPr>
        <w:t xml:space="preserve">Leavers are the higher-paying customers. </w:t>
      </w:r>
      <w:r>
        <w:rPr>
          <w:b w:val="0"/>
        </w:rPr>
        <w:t>They paid $74 a month on average, against $61 for those who stayed.</w:t>
      </w:r>
    </w:p>
    <w:p>
      <w:pPr>
        <w:pStyle w:val="ListBullet"/>
      </w:pPr>
      <w:r>
        <w:rPr>
          <w:b/>
        </w:rPr>
        <w:t xml:space="preserve">Support add-ons go with much lower churn. </w:t>
      </w:r>
      <w:r>
        <w:rPr>
          <w:b w:val="0"/>
        </w:rPr>
        <w:t>Internet customers with online security churn at 14.6%, against 41.8% without it.</w:t>
      </w:r>
    </w:p>
    <w:p>
      <w:pPr>
        <w:pStyle w:val="ListBullet"/>
      </w:pPr>
      <w:r>
        <w:rPr>
          <w:b/>
        </w:rPr>
        <w:t xml:space="preserve">A prediction model can focus the retention effort. </w:t>
      </w:r>
      <w:r>
        <w:rPr>
          <w:b w:val="0"/>
        </w:rPr>
        <w:t>The riskiest 20% of customers contained 51% of all leavers.</w:t>
      </w:r>
    </w:p>
    <w:p>
      <w:pPr>
        <w:pStyle w:val="Heading2"/>
      </w:pPr>
      <w:r>
        <w:t>What we recommend</w:t>
      </w:r>
    </w:p>
    <w:p>
      <w:r>
        <w:rPr>
          <w:b w:val="0"/>
          <w:i w:val="0"/>
        </w:rPr>
        <w:t>Look after new customers in their first six months, move month-to-month customers onto contracts, bundle online security and tech support, shift electronic check payers to automatic payment, review the fibre optic offer, and call the highest-risk customers every week. Details are in section 7.</w:t>
      </w:r>
    </w:p>
    <w:p>
      <w:pPr>
        <w:keepNext/>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01-overall-churn.png"/>
                    <pic:cNvPicPr/>
                  </pic:nvPicPr>
                  <pic:blipFill>
                    <a:blip r:embed="rId11"/>
                    <a:stretch>
                      <a:fillRect/>
                    </a:stretch>
                  </pic:blipFill>
                  <pic:spPr>
                    <a:xfrm>
                      <a:off x="0" y="0"/>
                      <a:ext cx="2377440" cy="2377440"/>
                    </a:xfrm>
                    <a:prstGeom prst="rect"/>
                  </pic:spPr>
                </pic:pic>
              </a:graphicData>
            </a:graphic>
          </wp:inline>
        </w:drawing>
      </w:r>
    </w:p>
    <w:p>
      <w:pPr>
        <w:spacing w:after="200"/>
        <w:jc w:val="center"/>
      </w:pPr>
      <w:r>
        <w:rPr>
          <w:b w:val="0"/>
          <w:i/>
          <w:color w:val="6B7588"/>
          <w:sz w:val="18"/>
        </w:rPr>
        <w:t>Figure 1. Overall churn and the revenue that went with it</w:t>
      </w:r>
    </w:p>
    <w:p>
      <w:pPr>
        <w:pStyle w:val="Heading1"/>
        <w:pageBreakBefore/>
      </w:pPr>
      <w:r>
        <w:t>2. The Data</w:t>
      </w:r>
    </w:p>
    <w:p>
      <w:r>
        <w:rPr>
          <w:b w:val="0"/>
          <w:i w:val="0"/>
        </w:rPr>
        <w:t>The dataset holds 7,043 customers, one row each, with 21 columns. A churn flag marks customers who left in the last month.</w:t>
      </w:r>
    </w:p>
    <w:tbl>
      <w:tblPr>
        <w:tblStyle w:val="TableGrid"/>
        <w:tblW w:type="auto" w:w="0"/>
        <w:jc w:val="center"/>
        <w:tblLayout w:type="fixed"/>
        <w:tblLook w:firstColumn="1" w:firstRow="1" w:lastColumn="0" w:lastRow="0" w:noHBand="0" w:noVBand="1" w:val="04A0"/>
      </w:tblPr>
      <w:tblGrid>
        <w:gridCol w:w="1872"/>
        <w:gridCol w:w="7344"/>
      </w:tblGrid>
      <w:tr>
        <w:tc>
          <w:tcPr>
            <w:tcW w:type="dxa" w:w="1872"/>
            <w:shd w:val="clear" w:color="auto" w:fill="14213D"/>
          </w:tcPr>
          <w:p>
            <w:pPr>
              <w:keepNext/>
              <w:spacing w:after="40" w:before="40"/>
            </w:pPr>
            <w:r/>
            <w:r>
              <w:rPr>
                <w:b/>
                <w:color w:val="FFFFFF"/>
                <w:sz w:val="19"/>
              </w:rPr>
              <w:t>Group</w:t>
            </w:r>
          </w:p>
        </w:tc>
        <w:tc>
          <w:tcPr>
            <w:tcW w:type="dxa" w:w="7344"/>
            <w:shd w:val="clear" w:color="auto" w:fill="14213D"/>
          </w:tcPr>
          <w:p>
            <w:pPr>
              <w:keepNext/>
              <w:spacing w:after="40" w:before="40"/>
            </w:pPr>
            <w:r/>
            <w:r>
              <w:rPr>
                <w:b/>
                <w:color w:val="FFFFFF"/>
                <w:sz w:val="19"/>
              </w:rPr>
              <w:t>Columns</w:t>
            </w:r>
          </w:p>
        </w:tc>
      </w:tr>
      <w:tr>
        <w:tc>
          <w:tcPr>
            <w:tcW w:type="dxa" w:w="1872"/>
          </w:tcPr>
          <w:p>
            <w:pPr>
              <w:keepNext/>
              <w:spacing w:after="40" w:before="40"/>
            </w:pPr>
            <w:r/>
            <w:r>
              <w:rPr>
                <w:sz w:val="19"/>
              </w:rPr>
              <w:t>Services</w:t>
            </w:r>
          </w:p>
        </w:tc>
        <w:tc>
          <w:tcPr>
            <w:tcW w:type="dxa" w:w="7344"/>
          </w:tcPr>
          <w:p>
            <w:pPr>
              <w:keepNext/>
              <w:spacing w:after="40" w:before="40"/>
            </w:pPr>
            <w:r/>
            <w:r>
              <w:rPr>
                <w:sz w:val="19"/>
              </w:rPr>
              <w:t>Phone, multiple lines, internet type, online security, online backup, device protection, tech support, streaming TV, streaming movies</w:t>
            </w:r>
          </w:p>
        </w:tc>
      </w:tr>
      <w:tr>
        <w:tc>
          <w:tcPr>
            <w:tcW w:type="dxa" w:w="1872"/>
            <w:shd w:val="clear" w:color="auto" w:fill="F3F5FA"/>
          </w:tcPr>
          <w:p>
            <w:pPr>
              <w:keepNext/>
              <w:spacing w:after="40" w:before="40"/>
            </w:pPr>
            <w:r/>
            <w:r>
              <w:rPr>
                <w:sz w:val="19"/>
              </w:rPr>
              <w:t>Account</w:t>
            </w:r>
          </w:p>
        </w:tc>
        <w:tc>
          <w:tcPr>
            <w:tcW w:type="dxa" w:w="7344"/>
            <w:shd w:val="clear" w:color="auto" w:fill="F3F5FA"/>
          </w:tcPr>
          <w:p>
            <w:pPr>
              <w:keepNext/>
              <w:spacing w:after="40" w:before="40"/>
            </w:pPr>
            <w:r/>
            <w:r>
              <w:rPr>
                <w:sz w:val="19"/>
              </w:rPr>
              <w:t>Tenure (months), contract type, payment method, paperless billing, monthly charges, total charges</w:t>
            </w:r>
          </w:p>
        </w:tc>
      </w:tr>
      <w:tr>
        <w:tc>
          <w:tcPr>
            <w:tcW w:type="dxa" w:w="1872"/>
          </w:tcPr>
          <w:p>
            <w:pPr>
              <w:keepNext/>
              <w:spacing w:after="40" w:before="40"/>
            </w:pPr>
            <w:r/>
            <w:r>
              <w:rPr>
                <w:sz w:val="19"/>
              </w:rPr>
              <w:t>Demographics</w:t>
            </w:r>
          </w:p>
        </w:tc>
        <w:tc>
          <w:tcPr>
            <w:tcW w:type="dxa" w:w="7344"/>
          </w:tcPr>
          <w:p>
            <w:pPr>
              <w:keepNext/>
              <w:spacing w:after="40" w:before="40"/>
            </w:pPr>
            <w:r/>
            <w:r>
              <w:rPr>
                <w:sz w:val="19"/>
              </w:rPr>
              <w:t>Gender, senior citizen, partner, dependents</w:t>
            </w:r>
          </w:p>
        </w:tc>
      </w:tr>
      <w:tr>
        <w:tc>
          <w:tcPr>
            <w:tcW w:type="dxa" w:w="1872"/>
            <w:shd w:val="clear" w:color="auto" w:fill="F3F5FA"/>
          </w:tcPr>
          <w:p>
            <w:pPr>
              <w:keepNext w:val="0"/>
              <w:spacing w:after="40" w:before="40"/>
            </w:pPr>
            <w:r/>
            <w:r>
              <w:rPr>
                <w:sz w:val="19"/>
              </w:rPr>
              <w:t>Outcome</w:t>
            </w:r>
          </w:p>
        </w:tc>
        <w:tc>
          <w:tcPr>
            <w:tcW w:type="dxa" w:w="7344"/>
            <w:shd w:val="clear" w:color="auto" w:fill="F3F5FA"/>
          </w:tcPr>
          <w:p>
            <w:pPr>
              <w:keepNext w:val="0"/>
              <w:spacing w:after="40" w:before="40"/>
            </w:pPr>
            <w:r/>
            <w:r>
              <w:rPr>
                <w:sz w:val="19"/>
              </w:rPr>
              <w:t>Churn (Yes or No)</w:t>
            </w:r>
          </w:p>
        </w:tc>
      </w:tr>
    </w:tbl>
    <w:p>
      <w:pPr>
        <w:spacing w:after="40"/>
      </w:pPr>
    </w:p>
    <w:p>
      <w:pPr>
        <w:pStyle w:val="Heading2"/>
      </w:pPr>
      <w:r>
        <w:t>Data quality</w:t>
      </w:r>
    </w:p>
    <w:tbl>
      <w:tblPr>
        <w:tblStyle w:val="TableGrid"/>
        <w:tblW w:type="auto" w:w="0"/>
        <w:jc w:val="center"/>
        <w:tblLayout w:type="fixed"/>
        <w:tblLook w:firstColumn="1" w:firstRow="1" w:lastColumn="0" w:lastRow="0" w:noHBand="0" w:noVBand="1" w:val="04A0"/>
      </w:tblPr>
      <w:tblGrid>
        <w:gridCol w:w="3456"/>
        <w:gridCol w:w="5760"/>
      </w:tblGrid>
      <w:tr>
        <w:tc>
          <w:tcPr>
            <w:tcW w:type="dxa" w:w="3456"/>
            <w:shd w:val="clear" w:color="auto" w:fill="14213D"/>
          </w:tcPr>
          <w:p>
            <w:pPr>
              <w:keepNext/>
              <w:spacing w:after="40" w:before="40"/>
            </w:pPr>
            <w:r/>
            <w:r>
              <w:rPr>
                <w:b/>
                <w:color w:val="FFFFFF"/>
                <w:sz w:val="19"/>
              </w:rPr>
              <w:t>Check</w:t>
            </w:r>
          </w:p>
        </w:tc>
        <w:tc>
          <w:tcPr>
            <w:tcW w:type="dxa" w:w="5760"/>
            <w:shd w:val="clear" w:color="auto" w:fill="14213D"/>
          </w:tcPr>
          <w:p>
            <w:pPr>
              <w:keepNext/>
              <w:spacing w:after="40" w:before="40"/>
            </w:pPr>
            <w:r/>
            <w:r>
              <w:rPr>
                <w:b/>
                <w:color w:val="FFFFFF"/>
                <w:sz w:val="19"/>
              </w:rPr>
              <w:t>Result</w:t>
            </w:r>
          </w:p>
        </w:tc>
      </w:tr>
      <w:tr>
        <w:tc>
          <w:tcPr>
            <w:tcW w:type="dxa" w:w="3456"/>
          </w:tcPr>
          <w:p>
            <w:pPr>
              <w:keepNext/>
              <w:spacing w:after="40" w:before="40"/>
            </w:pPr>
            <w:r/>
            <w:r>
              <w:rPr>
                <w:sz w:val="19"/>
              </w:rPr>
              <w:t>Rows and columns</w:t>
            </w:r>
          </w:p>
        </w:tc>
        <w:tc>
          <w:tcPr>
            <w:tcW w:type="dxa" w:w="5760"/>
          </w:tcPr>
          <w:p>
            <w:pPr>
              <w:keepNext/>
              <w:spacing w:after="40" w:before="40"/>
            </w:pPr>
            <w:r/>
            <w:r>
              <w:rPr>
                <w:sz w:val="19"/>
              </w:rPr>
              <w:t>7,043 rows, 21 columns</w:t>
            </w:r>
          </w:p>
        </w:tc>
      </w:tr>
      <w:tr>
        <w:tc>
          <w:tcPr>
            <w:tcW w:type="dxa" w:w="3456"/>
            <w:shd w:val="clear" w:color="auto" w:fill="F3F5FA"/>
          </w:tcPr>
          <w:p>
            <w:pPr>
              <w:keepNext/>
              <w:spacing w:after="40" w:before="40"/>
            </w:pPr>
            <w:r/>
            <w:r>
              <w:rPr>
                <w:sz w:val="19"/>
              </w:rPr>
              <w:t>Duplicate rows</w:t>
            </w:r>
          </w:p>
        </w:tc>
        <w:tc>
          <w:tcPr>
            <w:tcW w:type="dxa" w:w="5760"/>
            <w:shd w:val="clear" w:color="auto" w:fill="F3F5FA"/>
          </w:tcPr>
          <w:p>
            <w:pPr>
              <w:keepNext/>
              <w:spacing w:after="40" w:before="40"/>
            </w:pPr>
            <w:r/>
            <w:r>
              <w:rPr>
                <w:sz w:val="19"/>
              </w:rPr>
              <w:t>0</w:t>
            </w:r>
          </w:p>
        </w:tc>
      </w:tr>
      <w:tr>
        <w:tc>
          <w:tcPr>
            <w:tcW w:type="dxa" w:w="3456"/>
          </w:tcPr>
          <w:p>
            <w:pPr>
              <w:keepNext/>
              <w:spacing w:after="40" w:before="40"/>
            </w:pPr>
            <w:r/>
            <w:r>
              <w:rPr>
                <w:sz w:val="19"/>
              </w:rPr>
              <w:t>Duplicate customer IDs</w:t>
            </w:r>
          </w:p>
        </w:tc>
        <w:tc>
          <w:tcPr>
            <w:tcW w:type="dxa" w:w="5760"/>
          </w:tcPr>
          <w:p>
            <w:pPr>
              <w:keepNext/>
              <w:spacing w:after="40" w:before="40"/>
            </w:pPr>
            <w:r/>
            <w:r>
              <w:rPr>
                <w:sz w:val="19"/>
              </w:rPr>
              <w:t>0</w:t>
            </w:r>
          </w:p>
        </w:tc>
      </w:tr>
      <w:tr>
        <w:tc>
          <w:tcPr>
            <w:tcW w:type="dxa" w:w="3456"/>
            <w:shd w:val="clear" w:color="auto" w:fill="F3F5FA"/>
          </w:tcPr>
          <w:p>
            <w:pPr>
              <w:keepNext w:val="0"/>
              <w:spacing w:after="40" w:before="40"/>
            </w:pPr>
            <w:r/>
            <w:r>
              <w:rPr>
                <w:sz w:val="19"/>
              </w:rPr>
              <w:t>Missing values</w:t>
            </w:r>
          </w:p>
        </w:tc>
        <w:tc>
          <w:tcPr>
            <w:tcW w:type="dxa" w:w="5760"/>
            <w:shd w:val="clear" w:color="auto" w:fill="F3F5FA"/>
          </w:tcPr>
          <w:p>
            <w:pPr>
              <w:keepNext w:val="0"/>
              <w:spacing w:after="40" w:before="40"/>
            </w:pPr>
            <w:r/>
            <w:r>
              <w:rPr>
                <w:sz w:val="19"/>
              </w:rPr>
              <w:t>11 blank values in total charges; none elsewhere</w:t>
            </w:r>
          </w:p>
        </w:tc>
      </w:tr>
    </w:tbl>
    <w:p>
      <w:pPr>
        <w:spacing w:after="40"/>
      </w:pPr>
    </w:p>
    <w:p>
      <w:pPr>
        <w:pStyle w:val="Heading2"/>
      </w:pPr>
      <w:r>
        <w:t>Cleaning decisions</w:t>
      </w:r>
    </w:p>
    <w:p>
      <w:pPr>
        <w:pStyle w:val="ListBullet"/>
      </w:pPr>
      <w:r>
        <w:rPr>
          <w:b/>
        </w:rPr>
        <w:t xml:space="preserve">Total charges. </w:t>
      </w:r>
      <w:r>
        <w:rPr>
          <w:b w:val="0"/>
        </w:rPr>
        <w:t>The column arrived as text. Its 11 blank values all belong to customers with 0 months of tenure, meaning new customers not yet billed. They were set to 0 and kept, not dropped.</w:t>
      </w:r>
    </w:p>
    <w:p>
      <w:pPr>
        <w:pStyle w:val="ListBullet"/>
      </w:pPr>
      <w:r>
        <w:rPr>
          <w:b/>
        </w:rPr>
        <w:t xml:space="preserve">Senior citizen. </w:t>
      </w:r>
      <w:r>
        <w:rPr>
          <w:b w:val="0"/>
        </w:rPr>
        <w:t>Recoded from 0 and 1 to No and Yes, to match the other columns.</w:t>
      </w:r>
    </w:p>
    <w:p>
      <w:pPr>
        <w:pStyle w:val="ListBullet"/>
      </w:pPr>
      <w:r>
        <w:rPr>
          <w:b/>
        </w:rPr>
        <w:t xml:space="preserve">Duplicates. </w:t>
      </w:r>
      <w:r>
        <w:rPr>
          <w:b w:val="0"/>
        </w:rPr>
        <w:t>None found, so no rows were removed.</w:t>
      </w:r>
    </w:p>
    <w:p>
      <w:pPr>
        <w:pStyle w:val="Heading2"/>
      </w:pPr>
      <w:r>
        <w:t>Features added</w:t>
      </w:r>
    </w:p>
    <w:p>
      <w:pPr>
        <w:pStyle w:val="ListBullet"/>
      </w:pPr>
      <w:r>
        <w:rPr>
          <w:b/>
        </w:rPr>
        <w:t xml:space="preserve">Tenure band: </w:t>
      </w:r>
      <w:r>
        <w:rPr>
          <w:b w:val="0"/>
        </w:rPr>
        <w:t>0-6, 7-12, 13-24, 25-48 and 49-72 months.</w:t>
      </w:r>
    </w:p>
    <w:p>
      <w:pPr>
        <w:pStyle w:val="ListBullet"/>
      </w:pPr>
      <w:r>
        <w:rPr>
          <w:b/>
        </w:rPr>
        <w:t xml:space="preserve">Monthly charge band: </w:t>
      </w:r>
      <w:r>
        <w:rPr>
          <w:b w:val="0"/>
        </w:rPr>
        <w:t>under $30, $30-49, $50-69, $70-89 and $90 or more.</w:t>
      </w:r>
    </w:p>
    <w:p>
      <w:pPr>
        <w:pStyle w:val="ListBullet"/>
      </w:pPr>
      <w:r>
        <w:rPr>
          <w:b/>
        </w:rPr>
        <w:t xml:space="preserve">Number of services: </w:t>
      </w:r>
      <w:r>
        <w:rPr>
          <w:b w:val="0"/>
        </w:rPr>
        <w:t>a count of phone, multiple lines, internet and the six add-ons.</w:t>
      </w:r>
    </w:p>
    <w:p>
      <w:pPr>
        <w:pStyle w:val="ListBullet"/>
      </w:pPr>
      <w:r>
        <w:rPr>
          <w:b/>
        </w:rPr>
        <w:t xml:space="preserve">No add-ons flag: </w:t>
      </w:r>
      <w:r>
        <w:rPr>
          <w:b w:val="0"/>
        </w:rPr>
        <w:t>customers with none of the six add-ons. Add-on comparisons use internet customers only, because customers without internet cannot buy them.</w:t>
      </w:r>
    </w:p>
    <w:p>
      <w:pPr>
        <w:pStyle w:val="Heading1"/>
        <w:pageBreakBefore/>
      </w:pPr>
      <w:r>
        <w:t>3. Key Findings</w:t>
      </w:r>
    </w:p>
    <w:p>
      <w:pPr>
        <w:pStyle w:val="Heading2"/>
      </w:pPr>
      <w:r>
        <w:t>3.1 Contract type</w:t>
      </w:r>
    </w:p>
    <w:p>
      <w:r>
        <w:rPr>
          <w:b w:val="0"/>
          <w:i w:val="0"/>
        </w:rPr>
        <w:t>Customers on month-to-month plans leave at 42.7%. On one year contracts the rate is 11.3%, and on two year contracts 2.8%.</w:t>
      </w:r>
    </w:p>
    <w:tbl>
      <w:tblPr>
        <w:tblStyle w:val="TableGrid"/>
        <w:tblW w:type="auto" w:w="0"/>
        <w:jc w:val="center"/>
        <w:tblLayout w:type="fixed"/>
        <w:tblLook w:firstColumn="1" w:firstRow="1" w:lastColumn="0" w:lastRow="0" w:noHBand="0" w:noVBand="1" w:val="04A0"/>
      </w:tblPr>
      <w:tblGrid>
        <w:gridCol w:w="3744"/>
        <w:gridCol w:w="1728"/>
        <w:gridCol w:w="1728"/>
        <w:gridCol w:w="2016"/>
      </w:tblGrid>
      <w:tr>
        <w:tc>
          <w:tcPr>
            <w:tcW w:type="dxa" w:w="3744"/>
            <w:shd w:val="clear" w:color="auto" w:fill="14213D"/>
          </w:tcPr>
          <w:p>
            <w:pPr>
              <w:keepNext/>
              <w:spacing w:after="40" w:before="40"/>
            </w:pPr>
            <w:r/>
            <w:r>
              <w:rPr>
                <w:b/>
                <w:color w:val="FFFFFF"/>
                <w:sz w:val="19"/>
              </w:rPr>
              <w:t>Group</w:t>
            </w:r>
          </w:p>
        </w:tc>
        <w:tc>
          <w:tcPr>
            <w:tcW w:type="dxa" w:w="1728"/>
            <w:shd w:val="clear" w:color="auto" w:fill="14213D"/>
          </w:tcPr>
          <w:p>
            <w:pPr>
              <w:keepNext/>
              <w:spacing w:after="40" w:before="40"/>
            </w:pPr>
            <w:r/>
            <w:r>
              <w:rPr>
                <w:b/>
                <w:color w:val="FFFFFF"/>
                <w:sz w:val="19"/>
              </w:rPr>
              <w:t>Customers</w:t>
            </w:r>
          </w:p>
        </w:tc>
        <w:tc>
          <w:tcPr>
            <w:tcW w:type="dxa" w:w="1728"/>
            <w:shd w:val="clear" w:color="auto" w:fill="14213D"/>
          </w:tcPr>
          <w:p>
            <w:pPr>
              <w:keepNext/>
              <w:spacing w:after="40" w:before="40"/>
            </w:pPr>
            <w:r/>
            <w:r>
              <w:rPr>
                <w:b/>
                <w:color w:val="FFFFFF"/>
                <w:sz w:val="19"/>
              </w:rPr>
              <w:t>Churn rate</w:t>
            </w:r>
          </w:p>
        </w:tc>
        <w:tc>
          <w:tcPr>
            <w:tcW w:type="dxa" w:w="2016"/>
            <w:shd w:val="clear" w:color="auto" w:fill="14213D"/>
          </w:tcPr>
          <w:p>
            <w:pPr>
              <w:keepNext/>
              <w:spacing w:after="40" w:before="40"/>
            </w:pPr>
            <w:r/>
            <w:r>
              <w:rPr>
                <w:b/>
                <w:color w:val="FFFFFF"/>
                <w:sz w:val="19"/>
              </w:rPr>
              <w:t>Monthly revenue lost</w:t>
            </w:r>
          </w:p>
        </w:tc>
      </w:tr>
      <w:tr>
        <w:tc>
          <w:tcPr>
            <w:tcW w:type="dxa" w:w="3744"/>
          </w:tcPr>
          <w:p>
            <w:pPr>
              <w:keepNext/>
              <w:spacing w:after="40" w:before="40"/>
            </w:pPr>
            <w:r/>
            <w:r>
              <w:rPr>
                <w:sz w:val="19"/>
              </w:rPr>
              <w:t>Month-to-month</w:t>
            </w:r>
          </w:p>
        </w:tc>
        <w:tc>
          <w:tcPr>
            <w:tcW w:type="dxa" w:w="1728"/>
          </w:tcPr>
          <w:p>
            <w:pPr>
              <w:keepNext/>
              <w:spacing w:after="40" w:before="40"/>
              <w:jc w:val="right"/>
            </w:pPr>
            <w:r/>
            <w:r>
              <w:rPr>
                <w:sz w:val="19"/>
              </w:rPr>
              <w:t>3,875</w:t>
            </w:r>
          </w:p>
        </w:tc>
        <w:tc>
          <w:tcPr>
            <w:tcW w:type="dxa" w:w="1728"/>
          </w:tcPr>
          <w:p>
            <w:pPr>
              <w:keepNext/>
              <w:spacing w:after="40" w:before="40"/>
              <w:jc w:val="right"/>
            </w:pPr>
            <w:r/>
            <w:r>
              <w:rPr>
                <w:sz w:val="19"/>
              </w:rPr>
              <w:t>42.7%</w:t>
            </w:r>
          </w:p>
        </w:tc>
        <w:tc>
          <w:tcPr>
            <w:tcW w:type="dxa" w:w="2016"/>
          </w:tcPr>
          <w:p>
            <w:pPr>
              <w:keepNext/>
              <w:spacing w:after="40" w:before="40"/>
              <w:jc w:val="right"/>
            </w:pPr>
            <w:r/>
            <w:r>
              <w:rPr>
                <w:sz w:val="19"/>
              </w:rPr>
              <w:t>$120,847</w:t>
            </w:r>
          </w:p>
        </w:tc>
      </w:tr>
      <w:tr>
        <w:tc>
          <w:tcPr>
            <w:tcW w:type="dxa" w:w="3744"/>
            <w:shd w:val="clear" w:color="auto" w:fill="F3F5FA"/>
          </w:tcPr>
          <w:p>
            <w:pPr>
              <w:keepNext/>
              <w:spacing w:after="40" w:before="40"/>
            </w:pPr>
            <w:r/>
            <w:r>
              <w:rPr>
                <w:sz w:val="19"/>
              </w:rPr>
              <w:t>One year</w:t>
            </w:r>
          </w:p>
        </w:tc>
        <w:tc>
          <w:tcPr>
            <w:tcW w:type="dxa" w:w="1728"/>
            <w:shd w:val="clear" w:color="auto" w:fill="F3F5FA"/>
          </w:tcPr>
          <w:p>
            <w:pPr>
              <w:keepNext/>
              <w:spacing w:after="40" w:before="40"/>
              <w:jc w:val="right"/>
            </w:pPr>
            <w:r/>
            <w:r>
              <w:rPr>
                <w:sz w:val="19"/>
              </w:rPr>
              <w:t>1,473</w:t>
            </w:r>
          </w:p>
        </w:tc>
        <w:tc>
          <w:tcPr>
            <w:tcW w:type="dxa" w:w="1728"/>
            <w:shd w:val="clear" w:color="auto" w:fill="F3F5FA"/>
          </w:tcPr>
          <w:p>
            <w:pPr>
              <w:keepNext/>
              <w:spacing w:after="40" w:before="40"/>
              <w:jc w:val="right"/>
            </w:pPr>
            <w:r/>
            <w:r>
              <w:rPr>
                <w:sz w:val="19"/>
              </w:rPr>
              <w:t>11.3%</w:t>
            </w:r>
          </w:p>
        </w:tc>
        <w:tc>
          <w:tcPr>
            <w:tcW w:type="dxa" w:w="2016"/>
            <w:shd w:val="clear" w:color="auto" w:fill="F3F5FA"/>
          </w:tcPr>
          <w:p>
            <w:pPr>
              <w:keepNext/>
              <w:spacing w:after="40" w:before="40"/>
              <w:jc w:val="right"/>
            </w:pPr>
            <w:r/>
            <w:r>
              <w:rPr>
                <w:sz w:val="19"/>
              </w:rPr>
              <w:t>$14,118</w:t>
            </w:r>
          </w:p>
        </w:tc>
      </w:tr>
      <w:tr>
        <w:tc>
          <w:tcPr>
            <w:tcW w:type="dxa" w:w="3744"/>
          </w:tcPr>
          <w:p>
            <w:pPr>
              <w:keepNext w:val="0"/>
              <w:spacing w:after="40" w:before="40"/>
            </w:pPr>
            <w:r/>
            <w:r>
              <w:rPr>
                <w:sz w:val="19"/>
              </w:rPr>
              <w:t>Two year</w:t>
            </w:r>
          </w:p>
        </w:tc>
        <w:tc>
          <w:tcPr>
            <w:tcW w:type="dxa" w:w="1728"/>
          </w:tcPr>
          <w:p>
            <w:pPr>
              <w:keepNext w:val="0"/>
              <w:spacing w:after="40" w:before="40"/>
              <w:jc w:val="right"/>
            </w:pPr>
            <w:r/>
            <w:r>
              <w:rPr>
                <w:sz w:val="19"/>
              </w:rPr>
              <w:t>1,695</w:t>
            </w:r>
          </w:p>
        </w:tc>
        <w:tc>
          <w:tcPr>
            <w:tcW w:type="dxa" w:w="1728"/>
          </w:tcPr>
          <w:p>
            <w:pPr>
              <w:keepNext w:val="0"/>
              <w:spacing w:after="40" w:before="40"/>
              <w:jc w:val="right"/>
            </w:pPr>
            <w:r/>
            <w:r>
              <w:rPr>
                <w:sz w:val="19"/>
              </w:rPr>
              <w:t>2.8%</w:t>
            </w:r>
          </w:p>
        </w:tc>
        <w:tc>
          <w:tcPr>
            <w:tcW w:type="dxa" w:w="2016"/>
          </w:tcPr>
          <w:p>
            <w:pPr>
              <w:keepNext w:val="0"/>
              <w:spacing w:after="40" w:before="40"/>
              <w:jc w:val="right"/>
            </w:pPr>
            <w:r/>
            <w:r>
              <w:rPr>
                <w:sz w:val="19"/>
              </w:rPr>
              <w:t>$4,165</w:t>
            </w:r>
          </w:p>
        </w:tc>
      </w:tr>
    </w:tbl>
    <w:p>
      <w:pPr>
        <w:spacing w:after="40"/>
      </w:pPr>
    </w:p>
    <w:p>
      <w:pPr>
        <w:pStyle w:val="Heading2"/>
      </w:pPr>
      <w:r>
        <w:t>3.2 Tenure</w:t>
      </w:r>
    </w:p>
    <w:p>
      <w:r>
        <w:rPr>
          <w:b w:val="0"/>
          <w:i w:val="0"/>
        </w:rPr>
        <w:t>Churn falls steadily the longer a customer stays. Half of all leavers had been customers for 10 months or less.</w:t>
      </w:r>
    </w:p>
    <w:tbl>
      <w:tblPr>
        <w:tblStyle w:val="TableGrid"/>
        <w:tblW w:type="auto" w:w="0"/>
        <w:jc w:val="center"/>
        <w:tblLayout w:type="fixed"/>
        <w:tblLook w:firstColumn="1" w:firstRow="1" w:lastColumn="0" w:lastRow="0" w:noHBand="0" w:noVBand="1" w:val="04A0"/>
      </w:tblPr>
      <w:tblGrid>
        <w:gridCol w:w="3744"/>
        <w:gridCol w:w="1728"/>
        <w:gridCol w:w="1728"/>
        <w:gridCol w:w="2016"/>
      </w:tblGrid>
      <w:tr>
        <w:tc>
          <w:tcPr>
            <w:tcW w:type="dxa" w:w="3744"/>
            <w:shd w:val="clear" w:color="auto" w:fill="14213D"/>
          </w:tcPr>
          <w:p>
            <w:pPr>
              <w:keepNext/>
              <w:spacing w:after="40" w:before="40"/>
            </w:pPr>
            <w:r/>
            <w:r>
              <w:rPr>
                <w:b/>
                <w:color w:val="FFFFFF"/>
                <w:sz w:val="19"/>
              </w:rPr>
              <w:t>Group</w:t>
            </w:r>
          </w:p>
        </w:tc>
        <w:tc>
          <w:tcPr>
            <w:tcW w:type="dxa" w:w="1728"/>
            <w:shd w:val="clear" w:color="auto" w:fill="14213D"/>
          </w:tcPr>
          <w:p>
            <w:pPr>
              <w:keepNext/>
              <w:spacing w:after="40" w:before="40"/>
            </w:pPr>
            <w:r/>
            <w:r>
              <w:rPr>
                <w:b/>
                <w:color w:val="FFFFFF"/>
                <w:sz w:val="19"/>
              </w:rPr>
              <w:t>Customers</w:t>
            </w:r>
          </w:p>
        </w:tc>
        <w:tc>
          <w:tcPr>
            <w:tcW w:type="dxa" w:w="1728"/>
            <w:shd w:val="clear" w:color="auto" w:fill="14213D"/>
          </w:tcPr>
          <w:p>
            <w:pPr>
              <w:keepNext/>
              <w:spacing w:after="40" w:before="40"/>
            </w:pPr>
            <w:r/>
            <w:r>
              <w:rPr>
                <w:b/>
                <w:color w:val="FFFFFF"/>
                <w:sz w:val="19"/>
              </w:rPr>
              <w:t>Churn rate</w:t>
            </w:r>
          </w:p>
        </w:tc>
        <w:tc>
          <w:tcPr>
            <w:tcW w:type="dxa" w:w="2016"/>
            <w:shd w:val="clear" w:color="auto" w:fill="14213D"/>
          </w:tcPr>
          <w:p>
            <w:pPr>
              <w:keepNext/>
              <w:spacing w:after="40" w:before="40"/>
            </w:pPr>
            <w:r/>
            <w:r>
              <w:rPr>
                <w:b/>
                <w:color w:val="FFFFFF"/>
                <w:sz w:val="19"/>
              </w:rPr>
              <w:t>Monthly revenue lost</w:t>
            </w:r>
          </w:p>
        </w:tc>
      </w:tr>
      <w:tr>
        <w:tc>
          <w:tcPr>
            <w:tcW w:type="dxa" w:w="3744"/>
          </w:tcPr>
          <w:p>
            <w:pPr>
              <w:keepNext/>
              <w:spacing w:after="40" w:before="40"/>
            </w:pPr>
            <w:r/>
            <w:r>
              <w:rPr>
                <w:sz w:val="19"/>
              </w:rPr>
              <w:t>0-6 months</w:t>
            </w:r>
          </w:p>
        </w:tc>
        <w:tc>
          <w:tcPr>
            <w:tcW w:type="dxa" w:w="1728"/>
          </w:tcPr>
          <w:p>
            <w:pPr>
              <w:keepNext/>
              <w:spacing w:after="40" w:before="40"/>
              <w:jc w:val="right"/>
            </w:pPr>
            <w:r/>
            <w:r>
              <w:rPr>
                <w:sz w:val="19"/>
              </w:rPr>
              <w:t>1,481</w:t>
            </w:r>
          </w:p>
        </w:tc>
        <w:tc>
          <w:tcPr>
            <w:tcW w:type="dxa" w:w="1728"/>
          </w:tcPr>
          <w:p>
            <w:pPr>
              <w:keepNext/>
              <w:spacing w:after="40" w:before="40"/>
              <w:jc w:val="right"/>
            </w:pPr>
            <w:r/>
            <w:r>
              <w:rPr>
                <w:sz w:val="19"/>
              </w:rPr>
              <w:t>52.9%</w:t>
            </w:r>
          </w:p>
        </w:tc>
        <w:tc>
          <w:tcPr>
            <w:tcW w:type="dxa" w:w="2016"/>
          </w:tcPr>
          <w:p>
            <w:pPr>
              <w:keepNext/>
              <w:spacing w:after="40" w:before="40"/>
              <w:jc w:val="right"/>
            </w:pPr>
            <w:r/>
            <w:r>
              <w:rPr>
                <w:sz w:val="19"/>
              </w:rPr>
              <w:t>$49,896</w:t>
            </w:r>
          </w:p>
        </w:tc>
      </w:tr>
      <w:tr>
        <w:tc>
          <w:tcPr>
            <w:tcW w:type="dxa" w:w="3744"/>
            <w:shd w:val="clear" w:color="auto" w:fill="F3F5FA"/>
          </w:tcPr>
          <w:p>
            <w:pPr>
              <w:keepNext/>
              <w:spacing w:after="40" w:before="40"/>
            </w:pPr>
            <w:r/>
            <w:r>
              <w:rPr>
                <w:sz w:val="19"/>
              </w:rPr>
              <w:t>7-12 months</w:t>
            </w:r>
          </w:p>
        </w:tc>
        <w:tc>
          <w:tcPr>
            <w:tcW w:type="dxa" w:w="1728"/>
            <w:shd w:val="clear" w:color="auto" w:fill="F3F5FA"/>
          </w:tcPr>
          <w:p>
            <w:pPr>
              <w:keepNext/>
              <w:spacing w:after="40" w:before="40"/>
              <w:jc w:val="right"/>
            </w:pPr>
            <w:r/>
            <w:r>
              <w:rPr>
                <w:sz w:val="19"/>
              </w:rPr>
              <w:t>705</w:t>
            </w:r>
          </w:p>
        </w:tc>
        <w:tc>
          <w:tcPr>
            <w:tcW w:type="dxa" w:w="1728"/>
            <w:shd w:val="clear" w:color="auto" w:fill="F3F5FA"/>
          </w:tcPr>
          <w:p>
            <w:pPr>
              <w:keepNext/>
              <w:spacing w:after="40" w:before="40"/>
              <w:jc w:val="right"/>
            </w:pPr>
            <w:r/>
            <w:r>
              <w:rPr>
                <w:sz w:val="19"/>
              </w:rPr>
              <w:t>35.9%</w:t>
            </w:r>
          </w:p>
        </w:tc>
        <w:tc>
          <w:tcPr>
            <w:tcW w:type="dxa" w:w="2016"/>
            <w:shd w:val="clear" w:color="auto" w:fill="F3F5FA"/>
          </w:tcPr>
          <w:p>
            <w:pPr>
              <w:keepNext/>
              <w:spacing w:after="40" w:before="40"/>
              <w:jc w:val="right"/>
            </w:pPr>
            <w:r/>
            <w:r>
              <w:rPr>
                <w:sz w:val="19"/>
              </w:rPr>
              <w:t>$19,058</w:t>
            </w:r>
          </w:p>
        </w:tc>
      </w:tr>
      <w:tr>
        <w:tc>
          <w:tcPr>
            <w:tcW w:type="dxa" w:w="3744"/>
          </w:tcPr>
          <w:p>
            <w:pPr>
              <w:keepNext/>
              <w:spacing w:after="40" w:before="40"/>
            </w:pPr>
            <w:r/>
            <w:r>
              <w:rPr>
                <w:sz w:val="19"/>
              </w:rPr>
              <w:t>13-24 months</w:t>
            </w:r>
          </w:p>
        </w:tc>
        <w:tc>
          <w:tcPr>
            <w:tcW w:type="dxa" w:w="1728"/>
          </w:tcPr>
          <w:p>
            <w:pPr>
              <w:keepNext/>
              <w:spacing w:after="40" w:before="40"/>
              <w:jc w:val="right"/>
            </w:pPr>
            <w:r/>
            <w:r>
              <w:rPr>
                <w:sz w:val="19"/>
              </w:rPr>
              <w:t>1,024</w:t>
            </w:r>
          </w:p>
        </w:tc>
        <w:tc>
          <w:tcPr>
            <w:tcW w:type="dxa" w:w="1728"/>
          </w:tcPr>
          <w:p>
            <w:pPr>
              <w:keepNext/>
              <w:spacing w:after="40" w:before="40"/>
              <w:jc w:val="right"/>
            </w:pPr>
            <w:r/>
            <w:r>
              <w:rPr>
                <w:sz w:val="19"/>
              </w:rPr>
              <w:t>28.7%</w:t>
            </w:r>
          </w:p>
        </w:tc>
        <w:tc>
          <w:tcPr>
            <w:tcW w:type="dxa" w:w="2016"/>
          </w:tcPr>
          <w:p>
            <w:pPr>
              <w:keepNext/>
              <w:spacing w:after="40" w:before="40"/>
              <w:jc w:val="right"/>
            </w:pPr>
            <w:r/>
            <w:r>
              <w:rPr>
                <w:sz w:val="19"/>
              </w:rPr>
              <w:t>$23,082</w:t>
            </w:r>
          </w:p>
        </w:tc>
      </w:tr>
      <w:tr>
        <w:tc>
          <w:tcPr>
            <w:tcW w:type="dxa" w:w="3744"/>
            <w:shd w:val="clear" w:color="auto" w:fill="F3F5FA"/>
          </w:tcPr>
          <w:p>
            <w:pPr>
              <w:keepNext/>
              <w:spacing w:after="40" w:before="40"/>
            </w:pPr>
            <w:r/>
            <w:r>
              <w:rPr>
                <w:sz w:val="19"/>
              </w:rPr>
              <w:t>25-48 months</w:t>
            </w:r>
          </w:p>
        </w:tc>
        <w:tc>
          <w:tcPr>
            <w:tcW w:type="dxa" w:w="1728"/>
            <w:shd w:val="clear" w:color="auto" w:fill="F3F5FA"/>
          </w:tcPr>
          <w:p>
            <w:pPr>
              <w:keepNext/>
              <w:spacing w:after="40" w:before="40"/>
              <w:jc w:val="right"/>
            </w:pPr>
            <w:r/>
            <w:r>
              <w:rPr>
                <w:sz w:val="19"/>
              </w:rPr>
              <w:t>1,594</w:t>
            </w:r>
          </w:p>
        </w:tc>
        <w:tc>
          <w:tcPr>
            <w:tcW w:type="dxa" w:w="1728"/>
            <w:shd w:val="clear" w:color="auto" w:fill="F3F5FA"/>
          </w:tcPr>
          <w:p>
            <w:pPr>
              <w:keepNext/>
              <w:spacing w:after="40" w:before="40"/>
              <w:jc w:val="right"/>
            </w:pPr>
            <w:r/>
            <w:r>
              <w:rPr>
                <w:sz w:val="19"/>
              </w:rPr>
              <w:t>20.4%</w:t>
            </w:r>
          </w:p>
        </w:tc>
        <w:tc>
          <w:tcPr>
            <w:tcW w:type="dxa" w:w="2016"/>
            <w:shd w:val="clear" w:color="auto" w:fill="F3F5FA"/>
          </w:tcPr>
          <w:p>
            <w:pPr>
              <w:keepNext/>
              <w:spacing w:after="40" w:before="40"/>
              <w:jc w:val="right"/>
            </w:pPr>
            <w:r/>
            <w:r>
              <w:rPr>
                <w:sz w:val="19"/>
              </w:rPr>
              <w:t>$27,462</w:t>
            </w:r>
          </w:p>
        </w:tc>
      </w:tr>
      <w:tr>
        <w:tc>
          <w:tcPr>
            <w:tcW w:type="dxa" w:w="3744"/>
          </w:tcPr>
          <w:p>
            <w:pPr>
              <w:keepNext w:val="0"/>
              <w:spacing w:after="40" w:before="40"/>
            </w:pPr>
            <w:r/>
            <w:r>
              <w:rPr>
                <w:sz w:val="19"/>
              </w:rPr>
              <w:t>49-72 months</w:t>
            </w:r>
          </w:p>
        </w:tc>
        <w:tc>
          <w:tcPr>
            <w:tcW w:type="dxa" w:w="1728"/>
          </w:tcPr>
          <w:p>
            <w:pPr>
              <w:keepNext w:val="0"/>
              <w:spacing w:after="40" w:before="40"/>
              <w:jc w:val="right"/>
            </w:pPr>
            <w:r/>
            <w:r>
              <w:rPr>
                <w:sz w:val="19"/>
              </w:rPr>
              <w:t>2,239</w:t>
            </w:r>
          </w:p>
        </w:tc>
        <w:tc>
          <w:tcPr>
            <w:tcW w:type="dxa" w:w="1728"/>
          </w:tcPr>
          <w:p>
            <w:pPr>
              <w:keepNext w:val="0"/>
              <w:spacing w:after="40" w:before="40"/>
              <w:jc w:val="right"/>
            </w:pPr>
            <w:r/>
            <w:r>
              <w:rPr>
                <w:sz w:val="19"/>
              </w:rPr>
              <w:t>9.5%</w:t>
            </w:r>
          </w:p>
        </w:tc>
        <w:tc>
          <w:tcPr>
            <w:tcW w:type="dxa" w:w="2016"/>
          </w:tcPr>
          <w:p>
            <w:pPr>
              <w:keepNext w:val="0"/>
              <w:spacing w:after="40" w:before="40"/>
              <w:jc w:val="right"/>
            </w:pPr>
            <w:r/>
            <w:r>
              <w:rPr>
                <w:sz w:val="19"/>
              </w:rPr>
              <w:t>$19,632</w:t>
            </w:r>
          </w:p>
        </w:tc>
      </w:tr>
    </w:tbl>
    <w:p>
      <w:pPr>
        <w:spacing w:after="40"/>
      </w:pPr>
    </w:p>
    <w:tbl>
      <w:tblPr>
        <w:tblW w:type="auto" w:w="0"/>
        <w:jc w:val="center"/>
        <w:tblLayout w:type="fixed"/>
        <w:tblLook w:firstColumn="1" w:firstRow="1" w:lastColumn="0" w:lastRow="0" w:noHBand="0" w:noVBand="1" w:val="04A0"/>
      </w:tblPr>
      <w:tblGrid>
        <w:gridCol w:w="4658"/>
        <w:gridCol w:w="4658"/>
      </w:tblGrid>
      <w:tr>
        <w:tc>
          <w:tcPr>
            <w:tcW w:type="dxa" w:w="4464"/>
          </w:tcPr>
          <w:p>
            <w:pPr>
              <w:keepNext/>
              <w:jc w:val="center"/>
            </w:pPr>
            <w:r>
              <w:drawing>
                <wp:inline xmlns:a="http://schemas.openxmlformats.org/drawingml/2006/main" xmlns:pic="http://schemas.openxmlformats.org/drawingml/2006/picture">
                  <wp:extent cx="2743200" cy="2743200"/>
                  <wp:docPr id="3" name="Picture 3"/>
                  <wp:cNvGraphicFramePr>
                    <a:graphicFrameLocks noChangeAspect="1"/>
                  </wp:cNvGraphicFramePr>
                  <a:graphic>
                    <a:graphicData uri="http://schemas.openxmlformats.org/drawingml/2006/picture">
                      <pic:pic>
                        <pic:nvPicPr>
                          <pic:cNvPr id="0" name="02-churn-by-contract.png"/>
                          <pic:cNvPicPr/>
                        </pic:nvPicPr>
                        <pic:blipFill>
                          <a:blip r:embed="rId12"/>
                          <a:stretch>
                            <a:fillRect/>
                          </a:stretch>
                        </pic:blipFill>
                        <pic:spPr>
                          <a:xfrm>
                            <a:off x="0" y="0"/>
                            <a:ext cx="2743200" cy="2743200"/>
                          </a:xfrm>
                          <a:prstGeom prst="rect"/>
                        </pic:spPr>
                      </pic:pic>
                    </a:graphicData>
                  </a:graphic>
                </wp:inline>
              </w:drawing>
            </w:r>
          </w:p>
        </w:tc>
        <w:tc>
          <w:tcPr>
            <w:tcW w:type="dxa" w:w="4464"/>
          </w:tcPr>
          <w:p>
            <w:pPr>
              <w:keepNext/>
              <w:jc w:val="center"/>
            </w:pPr>
            <w:r>
              <w:drawing>
                <wp:inline xmlns:a="http://schemas.openxmlformats.org/drawingml/2006/main" xmlns:pic="http://schemas.openxmlformats.org/drawingml/2006/picture">
                  <wp:extent cx="2743200" cy="2743200"/>
                  <wp:docPr id="4" name="Picture 4"/>
                  <wp:cNvGraphicFramePr>
                    <a:graphicFrameLocks noChangeAspect="1"/>
                  </wp:cNvGraphicFramePr>
                  <a:graphic>
                    <a:graphicData uri="http://schemas.openxmlformats.org/drawingml/2006/picture">
                      <pic:pic>
                        <pic:nvPicPr>
                          <pic:cNvPr id="0" name="03-churn-by-tenure.png"/>
                          <pic:cNvPicPr/>
                        </pic:nvPicPr>
                        <pic:blipFill>
                          <a:blip r:embed="rId13"/>
                          <a:stretch>
                            <a:fillRect/>
                          </a:stretch>
                        </pic:blipFill>
                        <pic:spPr>
                          <a:xfrm>
                            <a:off x="0" y="0"/>
                            <a:ext cx="2743200" cy="2743200"/>
                          </a:xfrm>
                          <a:prstGeom prst="rect"/>
                        </pic:spPr>
                      </pic:pic>
                    </a:graphicData>
                  </a:graphic>
                </wp:inline>
              </w:drawing>
            </w:r>
          </w:p>
        </w:tc>
      </w:tr>
    </w:tbl>
    <w:p>
      <w:pPr>
        <w:spacing w:after="200"/>
        <w:jc w:val="center"/>
      </w:pPr>
      <w:r>
        <w:rPr>
          <w:b w:val="0"/>
          <w:i/>
          <w:color w:val="6B7588"/>
          <w:sz w:val="18"/>
        </w:rPr>
        <w:t>Figures 2 and 3. Churn rate by contract type and by time with the company</w:t>
      </w:r>
    </w:p>
    <w:p>
      <w:pPr>
        <w:pStyle w:val="Heading2"/>
      </w:pPr>
      <w:r>
        <w:t>3.3 Payment method</w:t>
      </w:r>
    </w:p>
    <w:p>
      <w:r>
        <w:rPr>
          <w:b w:val="0"/>
          <w:i w:val="0"/>
        </w:rPr>
        <w:t>Customers paying by electronic check leave far more often than customers on any other payment method.</w:t>
      </w:r>
    </w:p>
    <w:tbl>
      <w:tblPr>
        <w:tblStyle w:val="TableGrid"/>
        <w:tblW w:type="auto" w:w="0"/>
        <w:jc w:val="center"/>
        <w:tblLayout w:type="fixed"/>
        <w:tblLook w:firstColumn="1" w:firstRow="1" w:lastColumn="0" w:lastRow="0" w:noHBand="0" w:noVBand="1" w:val="04A0"/>
      </w:tblPr>
      <w:tblGrid>
        <w:gridCol w:w="3744"/>
        <w:gridCol w:w="1728"/>
        <w:gridCol w:w="1728"/>
        <w:gridCol w:w="2016"/>
      </w:tblGrid>
      <w:tr>
        <w:tc>
          <w:tcPr>
            <w:tcW w:type="dxa" w:w="3744"/>
            <w:shd w:val="clear" w:color="auto" w:fill="14213D"/>
          </w:tcPr>
          <w:p>
            <w:pPr>
              <w:keepNext/>
              <w:spacing w:after="40" w:before="40"/>
            </w:pPr>
            <w:r/>
            <w:r>
              <w:rPr>
                <w:b/>
                <w:color w:val="FFFFFF"/>
                <w:sz w:val="19"/>
              </w:rPr>
              <w:t>Group</w:t>
            </w:r>
          </w:p>
        </w:tc>
        <w:tc>
          <w:tcPr>
            <w:tcW w:type="dxa" w:w="1728"/>
            <w:shd w:val="clear" w:color="auto" w:fill="14213D"/>
          </w:tcPr>
          <w:p>
            <w:pPr>
              <w:keepNext/>
              <w:spacing w:after="40" w:before="40"/>
            </w:pPr>
            <w:r/>
            <w:r>
              <w:rPr>
                <w:b/>
                <w:color w:val="FFFFFF"/>
                <w:sz w:val="19"/>
              </w:rPr>
              <w:t>Customers</w:t>
            </w:r>
          </w:p>
        </w:tc>
        <w:tc>
          <w:tcPr>
            <w:tcW w:type="dxa" w:w="1728"/>
            <w:shd w:val="clear" w:color="auto" w:fill="14213D"/>
          </w:tcPr>
          <w:p>
            <w:pPr>
              <w:keepNext/>
              <w:spacing w:after="40" w:before="40"/>
            </w:pPr>
            <w:r/>
            <w:r>
              <w:rPr>
                <w:b/>
                <w:color w:val="FFFFFF"/>
                <w:sz w:val="19"/>
              </w:rPr>
              <w:t>Churn rate</w:t>
            </w:r>
          </w:p>
        </w:tc>
        <w:tc>
          <w:tcPr>
            <w:tcW w:type="dxa" w:w="2016"/>
            <w:shd w:val="clear" w:color="auto" w:fill="14213D"/>
          </w:tcPr>
          <w:p>
            <w:pPr>
              <w:keepNext/>
              <w:spacing w:after="40" w:before="40"/>
            </w:pPr>
            <w:r/>
            <w:r>
              <w:rPr>
                <w:b/>
                <w:color w:val="FFFFFF"/>
                <w:sz w:val="19"/>
              </w:rPr>
              <w:t>Monthly revenue lost</w:t>
            </w:r>
          </w:p>
        </w:tc>
      </w:tr>
      <w:tr>
        <w:tc>
          <w:tcPr>
            <w:tcW w:type="dxa" w:w="3744"/>
          </w:tcPr>
          <w:p>
            <w:pPr>
              <w:keepNext/>
              <w:spacing w:after="40" w:before="40"/>
            </w:pPr>
            <w:r/>
            <w:r>
              <w:rPr>
                <w:sz w:val="19"/>
              </w:rPr>
              <w:t>Electronic check</w:t>
            </w:r>
          </w:p>
        </w:tc>
        <w:tc>
          <w:tcPr>
            <w:tcW w:type="dxa" w:w="1728"/>
          </w:tcPr>
          <w:p>
            <w:pPr>
              <w:keepNext/>
              <w:spacing w:after="40" w:before="40"/>
              <w:jc w:val="right"/>
            </w:pPr>
            <w:r/>
            <w:r>
              <w:rPr>
                <w:sz w:val="19"/>
              </w:rPr>
              <w:t>2,365</w:t>
            </w:r>
          </w:p>
        </w:tc>
        <w:tc>
          <w:tcPr>
            <w:tcW w:type="dxa" w:w="1728"/>
          </w:tcPr>
          <w:p>
            <w:pPr>
              <w:keepNext/>
              <w:spacing w:after="40" w:before="40"/>
              <w:jc w:val="right"/>
            </w:pPr>
            <w:r/>
            <w:r>
              <w:rPr>
                <w:sz w:val="19"/>
              </w:rPr>
              <w:t>45.3%</w:t>
            </w:r>
          </w:p>
        </w:tc>
        <w:tc>
          <w:tcPr>
            <w:tcW w:type="dxa" w:w="2016"/>
          </w:tcPr>
          <w:p>
            <w:pPr>
              <w:keepNext/>
              <w:spacing w:after="40" w:before="40"/>
              <w:jc w:val="right"/>
            </w:pPr>
            <w:r/>
            <w:r>
              <w:rPr>
                <w:sz w:val="19"/>
              </w:rPr>
              <w:t>$84,289</w:t>
            </w:r>
          </w:p>
        </w:tc>
      </w:tr>
      <w:tr>
        <w:tc>
          <w:tcPr>
            <w:tcW w:type="dxa" w:w="3744"/>
            <w:shd w:val="clear" w:color="auto" w:fill="F3F5FA"/>
          </w:tcPr>
          <w:p>
            <w:pPr>
              <w:keepNext/>
              <w:spacing w:after="40" w:before="40"/>
            </w:pPr>
            <w:r/>
            <w:r>
              <w:rPr>
                <w:sz w:val="19"/>
              </w:rPr>
              <w:t>Mailed check</w:t>
            </w:r>
          </w:p>
        </w:tc>
        <w:tc>
          <w:tcPr>
            <w:tcW w:type="dxa" w:w="1728"/>
            <w:shd w:val="clear" w:color="auto" w:fill="F3F5FA"/>
          </w:tcPr>
          <w:p>
            <w:pPr>
              <w:keepNext/>
              <w:spacing w:after="40" w:before="40"/>
              <w:jc w:val="right"/>
            </w:pPr>
            <w:r/>
            <w:r>
              <w:rPr>
                <w:sz w:val="19"/>
              </w:rPr>
              <w:t>1,612</w:t>
            </w:r>
          </w:p>
        </w:tc>
        <w:tc>
          <w:tcPr>
            <w:tcW w:type="dxa" w:w="1728"/>
            <w:shd w:val="clear" w:color="auto" w:fill="F3F5FA"/>
          </w:tcPr>
          <w:p>
            <w:pPr>
              <w:keepNext/>
              <w:spacing w:after="40" w:before="40"/>
              <w:jc w:val="right"/>
            </w:pPr>
            <w:r/>
            <w:r>
              <w:rPr>
                <w:sz w:val="19"/>
              </w:rPr>
              <w:t>19.1%</w:t>
            </w:r>
          </w:p>
        </w:tc>
        <w:tc>
          <w:tcPr>
            <w:tcW w:type="dxa" w:w="2016"/>
            <w:shd w:val="clear" w:color="auto" w:fill="F3F5FA"/>
          </w:tcPr>
          <w:p>
            <w:pPr>
              <w:keepNext/>
              <w:spacing w:after="40" w:before="40"/>
              <w:jc w:val="right"/>
            </w:pPr>
            <w:r/>
            <w:r>
              <w:rPr>
                <w:sz w:val="19"/>
              </w:rPr>
              <w:t>$16,804</w:t>
            </w:r>
          </w:p>
        </w:tc>
      </w:tr>
      <w:tr>
        <w:tc>
          <w:tcPr>
            <w:tcW w:type="dxa" w:w="3744"/>
          </w:tcPr>
          <w:p>
            <w:pPr>
              <w:keepNext/>
              <w:spacing w:after="40" w:before="40"/>
            </w:pPr>
            <w:r/>
            <w:r>
              <w:rPr>
                <w:sz w:val="19"/>
              </w:rPr>
              <w:t>Bank transfer (automatic)</w:t>
            </w:r>
          </w:p>
        </w:tc>
        <w:tc>
          <w:tcPr>
            <w:tcW w:type="dxa" w:w="1728"/>
          </w:tcPr>
          <w:p>
            <w:pPr>
              <w:keepNext/>
              <w:spacing w:after="40" w:before="40"/>
              <w:jc w:val="right"/>
            </w:pPr>
            <w:r/>
            <w:r>
              <w:rPr>
                <w:sz w:val="19"/>
              </w:rPr>
              <w:t>1,544</w:t>
            </w:r>
          </w:p>
        </w:tc>
        <w:tc>
          <w:tcPr>
            <w:tcW w:type="dxa" w:w="1728"/>
          </w:tcPr>
          <w:p>
            <w:pPr>
              <w:keepNext/>
              <w:spacing w:after="40" w:before="40"/>
              <w:jc w:val="right"/>
            </w:pPr>
            <w:r/>
            <w:r>
              <w:rPr>
                <w:sz w:val="19"/>
              </w:rPr>
              <w:t>16.7%</w:t>
            </w:r>
          </w:p>
        </w:tc>
        <w:tc>
          <w:tcPr>
            <w:tcW w:type="dxa" w:w="2016"/>
          </w:tcPr>
          <w:p>
            <w:pPr>
              <w:keepNext/>
              <w:spacing w:after="40" w:before="40"/>
              <w:jc w:val="right"/>
            </w:pPr>
            <w:r/>
            <w:r>
              <w:rPr>
                <w:sz w:val="19"/>
              </w:rPr>
              <w:t>$20,092</w:t>
            </w:r>
          </w:p>
        </w:tc>
      </w:tr>
      <w:tr>
        <w:tc>
          <w:tcPr>
            <w:tcW w:type="dxa" w:w="3744"/>
            <w:shd w:val="clear" w:color="auto" w:fill="F3F5FA"/>
          </w:tcPr>
          <w:p>
            <w:pPr>
              <w:keepNext w:val="0"/>
              <w:spacing w:after="40" w:before="40"/>
            </w:pPr>
            <w:r/>
            <w:r>
              <w:rPr>
                <w:sz w:val="19"/>
              </w:rPr>
              <w:t>Credit card (automatic)</w:t>
            </w:r>
          </w:p>
        </w:tc>
        <w:tc>
          <w:tcPr>
            <w:tcW w:type="dxa" w:w="1728"/>
            <w:shd w:val="clear" w:color="auto" w:fill="F3F5FA"/>
          </w:tcPr>
          <w:p>
            <w:pPr>
              <w:keepNext w:val="0"/>
              <w:spacing w:after="40" w:before="40"/>
              <w:jc w:val="right"/>
            </w:pPr>
            <w:r/>
            <w:r>
              <w:rPr>
                <w:sz w:val="19"/>
              </w:rPr>
              <w:t>1,522</w:t>
            </w:r>
          </w:p>
        </w:tc>
        <w:tc>
          <w:tcPr>
            <w:tcW w:type="dxa" w:w="1728"/>
            <w:shd w:val="clear" w:color="auto" w:fill="F3F5FA"/>
          </w:tcPr>
          <w:p>
            <w:pPr>
              <w:keepNext w:val="0"/>
              <w:spacing w:after="40" w:before="40"/>
              <w:jc w:val="right"/>
            </w:pPr>
            <w:r/>
            <w:r>
              <w:rPr>
                <w:sz w:val="19"/>
              </w:rPr>
              <w:t>15.2%</w:t>
            </w:r>
          </w:p>
        </w:tc>
        <w:tc>
          <w:tcPr>
            <w:tcW w:type="dxa" w:w="2016"/>
            <w:shd w:val="clear" w:color="auto" w:fill="F3F5FA"/>
          </w:tcPr>
          <w:p>
            <w:pPr>
              <w:keepNext w:val="0"/>
              <w:spacing w:after="40" w:before="40"/>
              <w:jc w:val="right"/>
            </w:pPr>
            <w:r/>
            <w:r>
              <w:rPr>
                <w:sz w:val="19"/>
              </w:rPr>
              <w:t>$17,947</w:t>
            </w:r>
          </w:p>
        </w:tc>
      </w:tr>
    </w:tbl>
    <w:p>
      <w:pPr>
        <w:spacing w:after="40"/>
      </w:pPr>
    </w:p>
    <w:p>
      <w:pPr>
        <w:pStyle w:val="Heading2"/>
      </w:pPr>
      <w:r>
        <w:t>3.4 Internet service and billing</w:t>
      </w:r>
    </w:p>
    <w:p>
      <w:r>
        <w:rPr>
          <w:b w:val="0"/>
          <w:i w:val="0"/>
        </w:rPr>
        <w:t>Fibre optic customers churn at more than twice the rate of DSL customers and account for most of the lost revenue. Customers on paperless billing also leave more often.</w:t>
      </w:r>
    </w:p>
    <w:tbl>
      <w:tblPr>
        <w:tblStyle w:val="TableGrid"/>
        <w:tblW w:type="auto" w:w="0"/>
        <w:jc w:val="center"/>
        <w:tblLayout w:type="fixed"/>
        <w:tblLook w:firstColumn="1" w:firstRow="1" w:lastColumn="0" w:lastRow="0" w:noHBand="0" w:noVBand="1" w:val="04A0"/>
      </w:tblPr>
      <w:tblGrid>
        <w:gridCol w:w="3744"/>
        <w:gridCol w:w="1728"/>
        <w:gridCol w:w="1728"/>
        <w:gridCol w:w="2016"/>
      </w:tblGrid>
      <w:tr>
        <w:tc>
          <w:tcPr>
            <w:tcW w:type="dxa" w:w="3744"/>
            <w:shd w:val="clear" w:color="auto" w:fill="14213D"/>
          </w:tcPr>
          <w:p>
            <w:pPr>
              <w:keepNext/>
              <w:spacing w:after="40" w:before="40"/>
            </w:pPr>
            <w:r/>
            <w:r>
              <w:rPr>
                <w:b/>
                <w:color w:val="FFFFFF"/>
                <w:sz w:val="19"/>
              </w:rPr>
              <w:t>Group</w:t>
            </w:r>
          </w:p>
        </w:tc>
        <w:tc>
          <w:tcPr>
            <w:tcW w:type="dxa" w:w="1728"/>
            <w:shd w:val="clear" w:color="auto" w:fill="14213D"/>
          </w:tcPr>
          <w:p>
            <w:pPr>
              <w:keepNext/>
              <w:spacing w:after="40" w:before="40"/>
            </w:pPr>
            <w:r/>
            <w:r>
              <w:rPr>
                <w:b/>
                <w:color w:val="FFFFFF"/>
                <w:sz w:val="19"/>
              </w:rPr>
              <w:t>Customers</w:t>
            </w:r>
          </w:p>
        </w:tc>
        <w:tc>
          <w:tcPr>
            <w:tcW w:type="dxa" w:w="1728"/>
            <w:shd w:val="clear" w:color="auto" w:fill="14213D"/>
          </w:tcPr>
          <w:p>
            <w:pPr>
              <w:keepNext/>
              <w:spacing w:after="40" w:before="40"/>
            </w:pPr>
            <w:r/>
            <w:r>
              <w:rPr>
                <w:b/>
                <w:color w:val="FFFFFF"/>
                <w:sz w:val="19"/>
              </w:rPr>
              <w:t>Churn rate</w:t>
            </w:r>
          </w:p>
        </w:tc>
        <w:tc>
          <w:tcPr>
            <w:tcW w:type="dxa" w:w="2016"/>
            <w:shd w:val="clear" w:color="auto" w:fill="14213D"/>
          </w:tcPr>
          <w:p>
            <w:pPr>
              <w:keepNext/>
              <w:spacing w:after="40" w:before="40"/>
            </w:pPr>
            <w:r/>
            <w:r>
              <w:rPr>
                <w:b/>
                <w:color w:val="FFFFFF"/>
                <w:sz w:val="19"/>
              </w:rPr>
              <w:t>Monthly revenue lost</w:t>
            </w:r>
          </w:p>
        </w:tc>
      </w:tr>
      <w:tr>
        <w:tc>
          <w:tcPr>
            <w:tcW w:type="dxa" w:w="3744"/>
          </w:tcPr>
          <w:p>
            <w:pPr>
              <w:keepNext/>
              <w:spacing w:after="40" w:before="40"/>
            </w:pPr>
            <w:r/>
            <w:r>
              <w:rPr>
                <w:sz w:val="19"/>
              </w:rPr>
              <w:t>Fibre optic internet</w:t>
            </w:r>
          </w:p>
        </w:tc>
        <w:tc>
          <w:tcPr>
            <w:tcW w:type="dxa" w:w="1728"/>
          </w:tcPr>
          <w:p>
            <w:pPr>
              <w:keepNext/>
              <w:spacing w:after="40" w:before="40"/>
              <w:jc w:val="right"/>
            </w:pPr>
            <w:r/>
            <w:r>
              <w:rPr>
                <w:sz w:val="19"/>
              </w:rPr>
              <w:t>3,096</w:t>
            </w:r>
          </w:p>
        </w:tc>
        <w:tc>
          <w:tcPr>
            <w:tcW w:type="dxa" w:w="1728"/>
          </w:tcPr>
          <w:p>
            <w:pPr>
              <w:keepNext/>
              <w:spacing w:after="40" w:before="40"/>
              <w:jc w:val="right"/>
            </w:pPr>
            <w:r/>
            <w:r>
              <w:rPr>
                <w:sz w:val="19"/>
              </w:rPr>
              <w:t>41.9%</w:t>
            </w:r>
          </w:p>
        </w:tc>
        <w:tc>
          <w:tcPr>
            <w:tcW w:type="dxa" w:w="2016"/>
          </w:tcPr>
          <w:p>
            <w:pPr>
              <w:keepNext/>
              <w:spacing w:after="40" w:before="40"/>
              <w:jc w:val="right"/>
            </w:pPr>
            <w:r/>
            <w:r>
              <w:rPr>
                <w:sz w:val="19"/>
              </w:rPr>
              <w:t>$114,300</w:t>
            </w:r>
          </w:p>
        </w:tc>
      </w:tr>
      <w:tr>
        <w:tc>
          <w:tcPr>
            <w:tcW w:type="dxa" w:w="3744"/>
            <w:shd w:val="clear" w:color="auto" w:fill="F3F5FA"/>
          </w:tcPr>
          <w:p>
            <w:pPr>
              <w:keepNext/>
              <w:spacing w:after="40" w:before="40"/>
            </w:pPr>
            <w:r/>
            <w:r>
              <w:rPr>
                <w:sz w:val="19"/>
              </w:rPr>
              <w:t>DSL internet</w:t>
            </w:r>
          </w:p>
        </w:tc>
        <w:tc>
          <w:tcPr>
            <w:tcW w:type="dxa" w:w="1728"/>
            <w:shd w:val="clear" w:color="auto" w:fill="F3F5FA"/>
          </w:tcPr>
          <w:p>
            <w:pPr>
              <w:keepNext/>
              <w:spacing w:after="40" w:before="40"/>
              <w:jc w:val="right"/>
            </w:pPr>
            <w:r/>
            <w:r>
              <w:rPr>
                <w:sz w:val="19"/>
              </w:rPr>
              <w:t>2,421</w:t>
            </w:r>
          </w:p>
        </w:tc>
        <w:tc>
          <w:tcPr>
            <w:tcW w:type="dxa" w:w="1728"/>
            <w:shd w:val="clear" w:color="auto" w:fill="F3F5FA"/>
          </w:tcPr>
          <w:p>
            <w:pPr>
              <w:keepNext/>
              <w:spacing w:after="40" w:before="40"/>
              <w:jc w:val="right"/>
            </w:pPr>
            <w:r/>
            <w:r>
              <w:rPr>
                <w:sz w:val="19"/>
              </w:rPr>
              <w:t>19.0%</w:t>
            </w:r>
          </w:p>
        </w:tc>
        <w:tc>
          <w:tcPr>
            <w:tcW w:type="dxa" w:w="2016"/>
            <w:shd w:val="clear" w:color="auto" w:fill="F3F5FA"/>
          </w:tcPr>
          <w:p>
            <w:pPr>
              <w:keepNext/>
              <w:spacing w:after="40" w:before="40"/>
              <w:jc w:val="right"/>
            </w:pPr>
            <w:r/>
            <w:r>
              <w:rPr>
                <w:sz w:val="19"/>
              </w:rPr>
              <w:t>$22,529</w:t>
            </w:r>
          </w:p>
        </w:tc>
      </w:tr>
      <w:tr>
        <w:tc>
          <w:tcPr>
            <w:tcW w:type="dxa" w:w="3744"/>
          </w:tcPr>
          <w:p>
            <w:pPr>
              <w:keepNext/>
              <w:spacing w:after="40" w:before="40"/>
            </w:pPr>
            <w:r/>
            <w:r>
              <w:rPr>
                <w:sz w:val="19"/>
              </w:rPr>
              <w:t>No internet</w:t>
            </w:r>
          </w:p>
        </w:tc>
        <w:tc>
          <w:tcPr>
            <w:tcW w:type="dxa" w:w="1728"/>
          </w:tcPr>
          <w:p>
            <w:pPr>
              <w:keepNext/>
              <w:spacing w:after="40" w:before="40"/>
              <w:jc w:val="right"/>
            </w:pPr>
            <w:r/>
            <w:r>
              <w:rPr>
                <w:sz w:val="19"/>
              </w:rPr>
              <w:t>1,526</w:t>
            </w:r>
          </w:p>
        </w:tc>
        <w:tc>
          <w:tcPr>
            <w:tcW w:type="dxa" w:w="1728"/>
          </w:tcPr>
          <w:p>
            <w:pPr>
              <w:keepNext/>
              <w:spacing w:after="40" w:before="40"/>
              <w:jc w:val="right"/>
            </w:pPr>
            <w:r/>
            <w:r>
              <w:rPr>
                <w:sz w:val="19"/>
              </w:rPr>
              <w:t>7.4%</w:t>
            </w:r>
          </w:p>
        </w:tc>
        <w:tc>
          <w:tcPr>
            <w:tcW w:type="dxa" w:w="2016"/>
          </w:tcPr>
          <w:p>
            <w:pPr>
              <w:keepNext/>
              <w:spacing w:after="40" w:before="40"/>
              <w:jc w:val="right"/>
            </w:pPr>
            <w:r/>
            <w:r>
              <w:rPr>
                <w:sz w:val="19"/>
              </w:rPr>
              <w:t>$2,302</w:t>
            </w:r>
          </w:p>
        </w:tc>
      </w:tr>
      <w:tr>
        <w:tc>
          <w:tcPr>
            <w:tcW w:type="dxa" w:w="3744"/>
            <w:shd w:val="clear" w:color="auto" w:fill="F3F5FA"/>
          </w:tcPr>
          <w:p>
            <w:pPr>
              <w:keepNext/>
              <w:spacing w:after="40" w:before="40"/>
            </w:pPr>
            <w:r/>
            <w:r>
              <w:rPr>
                <w:sz w:val="19"/>
              </w:rPr>
              <w:t>Paperless billing: yes</w:t>
            </w:r>
          </w:p>
        </w:tc>
        <w:tc>
          <w:tcPr>
            <w:tcW w:type="dxa" w:w="1728"/>
            <w:shd w:val="clear" w:color="auto" w:fill="F3F5FA"/>
          </w:tcPr>
          <w:p>
            <w:pPr>
              <w:keepNext/>
              <w:spacing w:after="40" w:before="40"/>
              <w:jc w:val="right"/>
            </w:pPr>
            <w:r/>
            <w:r>
              <w:rPr>
                <w:sz w:val="19"/>
              </w:rPr>
              <w:t>4,171</w:t>
            </w:r>
          </w:p>
        </w:tc>
        <w:tc>
          <w:tcPr>
            <w:tcW w:type="dxa" w:w="1728"/>
            <w:shd w:val="clear" w:color="auto" w:fill="F3F5FA"/>
          </w:tcPr>
          <w:p>
            <w:pPr>
              <w:keepNext/>
              <w:spacing w:after="40" w:before="40"/>
              <w:jc w:val="right"/>
            </w:pPr>
            <w:r/>
            <w:r>
              <w:rPr>
                <w:sz w:val="19"/>
              </w:rPr>
              <w:t>33.6%</w:t>
            </w:r>
          </w:p>
        </w:tc>
        <w:tc>
          <w:tcPr>
            <w:tcW w:type="dxa" w:w="2016"/>
            <w:shd w:val="clear" w:color="auto" w:fill="F3F5FA"/>
          </w:tcPr>
          <w:p>
            <w:pPr>
              <w:keepNext/>
              <w:spacing w:after="40" w:before="40"/>
              <w:jc w:val="right"/>
            </w:pPr>
            <w:r/>
            <w:r>
              <w:rPr>
                <w:sz w:val="19"/>
              </w:rPr>
              <w:t>$109,510</w:t>
            </w:r>
          </w:p>
        </w:tc>
      </w:tr>
      <w:tr>
        <w:tc>
          <w:tcPr>
            <w:tcW w:type="dxa" w:w="3744"/>
          </w:tcPr>
          <w:p>
            <w:pPr>
              <w:keepNext w:val="0"/>
              <w:spacing w:after="40" w:before="40"/>
            </w:pPr>
            <w:r/>
            <w:r>
              <w:rPr>
                <w:sz w:val="19"/>
              </w:rPr>
              <w:t>Paperless billing: no</w:t>
            </w:r>
          </w:p>
        </w:tc>
        <w:tc>
          <w:tcPr>
            <w:tcW w:type="dxa" w:w="1728"/>
          </w:tcPr>
          <w:p>
            <w:pPr>
              <w:keepNext w:val="0"/>
              <w:spacing w:after="40" w:before="40"/>
              <w:jc w:val="right"/>
            </w:pPr>
            <w:r/>
            <w:r>
              <w:rPr>
                <w:sz w:val="19"/>
              </w:rPr>
              <w:t>2,872</w:t>
            </w:r>
          </w:p>
        </w:tc>
        <w:tc>
          <w:tcPr>
            <w:tcW w:type="dxa" w:w="1728"/>
          </w:tcPr>
          <w:p>
            <w:pPr>
              <w:keepNext w:val="0"/>
              <w:spacing w:after="40" w:before="40"/>
              <w:jc w:val="right"/>
            </w:pPr>
            <w:r/>
            <w:r>
              <w:rPr>
                <w:sz w:val="19"/>
              </w:rPr>
              <w:t>16.3%</w:t>
            </w:r>
          </w:p>
        </w:tc>
        <w:tc>
          <w:tcPr>
            <w:tcW w:type="dxa" w:w="2016"/>
          </w:tcPr>
          <w:p>
            <w:pPr>
              <w:keepNext w:val="0"/>
              <w:spacing w:after="40" w:before="40"/>
              <w:jc w:val="right"/>
            </w:pPr>
            <w:r/>
            <w:r>
              <w:rPr>
                <w:sz w:val="19"/>
              </w:rPr>
              <w:t>$29,621</w:t>
            </w:r>
          </w:p>
        </w:tc>
      </w:tr>
    </w:tbl>
    <w:p>
      <w:pPr>
        <w:spacing w:after="40"/>
      </w:pPr>
    </w:p>
    <w:p>
      <w:pPr>
        <w:pStyle w:val="Heading2"/>
      </w:pPr>
      <w:r>
        <w:t>3.5 Demographics</w:t>
      </w:r>
    </w:p>
    <w:p>
      <w:r>
        <w:rPr>
          <w:b w:val="0"/>
          <w:i w:val="0"/>
        </w:rPr>
        <w:t>Senior citizens, and customers without a partner or dependents, leave more often. Gender makes no difference.</w:t>
      </w:r>
    </w:p>
    <w:tbl>
      <w:tblPr>
        <w:tblStyle w:val="TableGrid"/>
        <w:tblW w:type="auto" w:w="0"/>
        <w:jc w:val="center"/>
        <w:tblLayout w:type="fixed"/>
        <w:tblLook w:firstColumn="1" w:firstRow="1" w:lastColumn="0" w:lastRow="0" w:noHBand="0" w:noVBand="1" w:val="04A0"/>
      </w:tblPr>
      <w:tblGrid>
        <w:gridCol w:w="3744"/>
        <w:gridCol w:w="1728"/>
        <w:gridCol w:w="1728"/>
        <w:gridCol w:w="2016"/>
      </w:tblGrid>
      <w:tr>
        <w:tc>
          <w:tcPr>
            <w:tcW w:type="dxa" w:w="3744"/>
            <w:shd w:val="clear" w:color="auto" w:fill="14213D"/>
          </w:tcPr>
          <w:p>
            <w:pPr>
              <w:keepNext/>
              <w:spacing w:after="40" w:before="40"/>
            </w:pPr>
            <w:r/>
            <w:r>
              <w:rPr>
                <w:b/>
                <w:color w:val="FFFFFF"/>
                <w:sz w:val="19"/>
              </w:rPr>
              <w:t>Group</w:t>
            </w:r>
          </w:p>
        </w:tc>
        <w:tc>
          <w:tcPr>
            <w:tcW w:type="dxa" w:w="1728"/>
            <w:shd w:val="clear" w:color="auto" w:fill="14213D"/>
          </w:tcPr>
          <w:p>
            <w:pPr>
              <w:keepNext/>
              <w:spacing w:after="40" w:before="40"/>
            </w:pPr>
            <w:r/>
            <w:r>
              <w:rPr>
                <w:b/>
                <w:color w:val="FFFFFF"/>
                <w:sz w:val="19"/>
              </w:rPr>
              <w:t>Customers</w:t>
            </w:r>
          </w:p>
        </w:tc>
        <w:tc>
          <w:tcPr>
            <w:tcW w:type="dxa" w:w="1728"/>
            <w:shd w:val="clear" w:color="auto" w:fill="14213D"/>
          </w:tcPr>
          <w:p>
            <w:pPr>
              <w:keepNext/>
              <w:spacing w:after="40" w:before="40"/>
            </w:pPr>
            <w:r/>
            <w:r>
              <w:rPr>
                <w:b/>
                <w:color w:val="FFFFFF"/>
                <w:sz w:val="19"/>
              </w:rPr>
              <w:t>Churn rate</w:t>
            </w:r>
          </w:p>
        </w:tc>
        <w:tc>
          <w:tcPr>
            <w:tcW w:type="dxa" w:w="2016"/>
            <w:shd w:val="clear" w:color="auto" w:fill="14213D"/>
          </w:tcPr>
          <w:p>
            <w:pPr>
              <w:keepNext/>
              <w:spacing w:after="40" w:before="40"/>
            </w:pPr>
            <w:r/>
            <w:r>
              <w:rPr>
                <w:b/>
                <w:color w:val="FFFFFF"/>
                <w:sz w:val="19"/>
              </w:rPr>
              <w:t>Monthly revenue lost</w:t>
            </w:r>
          </w:p>
        </w:tc>
      </w:tr>
      <w:tr>
        <w:tc>
          <w:tcPr>
            <w:tcW w:type="dxa" w:w="3744"/>
          </w:tcPr>
          <w:p>
            <w:pPr>
              <w:keepNext/>
              <w:spacing w:after="40" w:before="40"/>
            </w:pPr>
            <w:r/>
            <w:r>
              <w:rPr>
                <w:sz w:val="19"/>
              </w:rPr>
              <w:t>Senior citizen: yes</w:t>
            </w:r>
          </w:p>
        </w:tc>
        <w:tc>
          <w:tcPr>
            <w:tcW w:type="dxa" w:w="1728"/>
          </w:tcPr>
          <w:p>
            <w:pPr>
              <w:keepNext/>
              <w:spacing w:after="40" w:before="40"/>
              <w:jc w:val="right"/>
            </w:pPr>
            <w:r/>
            <w:r>
              <w:rPr>
                <w:sz w:val="19"/>
              </w:rPr>
              <w:t>1,142</w:t>
            </w:r>
          </w:p>
        </w:tc>
        <w:tc>
          <w:tcPr>
            <w:tcW w:type="dxa" w:w="1728"/>
          </w:tcPr>
          <w:p>
            <w:pPr>
              <w:keepNext/>
              <w:spacing w:after="40" w:before="40"/>
              <w:jc w:val="right"/>
            </w:pPr>
            <w:r/>
            <w:r>
              <w:rPr>
                <w:sz w:val="19"/>
              </w:rPr>
              <w:t>41.7%</w:t>
            </w:r>
          </w:p>
        </w:tc>
        <w:tc>
          <w:tcPr>
            <w:tcW w:type="dxa" w:w="2016"/>
          </w:tcPr>
          <w:p>
            <w:pPr>
              <w:keepNext/>
              <w:spacing w:after="40" w:before="40"/>
              <w:jc w:val="right"/>
            </w:pPr>
            <w:r/>
            <w:r>
              <w:rPr>
                <w:sz w:val="19"/>
              </w:rPr>
              <w:t>$38,420</w:t>
            </w:r>
          </w:p>
        </w:tc>
      </w:tr>
      <w:tr>
        <w:tc>
          <w:tcPr>
            <w:tcW w:type="dxa" w:w="3744"/>
            <w:shd w:val="clear" w:color="auto" w:fill="F3F5FA"/>
          </w:tcPr>
          <w:p>
            <w:pPr>
              <w:keepNext/>
              <w:spacing w:after="40" w:before="40"/>
            </w:pPr>
            <w:r/>
            <w:r>
              <w:rPr>
                <w:sz w:val="19"/>
              </w:rPr>
              <w:t>Senior citizen: no</w:t>
            </w:r>
          </w:p>
        </w:tc>
        <w:tc>
          <w:tcPr>
            <w:tcW w:type="dxa" w:w="1728"/>
            <w:shd w:val="clear" w:color="auto" w:fill="F3F5FA"/>
          </w:tcPr>
          <w:p>
            <w:pPr>
              <w:keepNext/>
              <w:spacing w:after="40" w:before="40"/>
              <w:jc w:val="right"/>
            </w:pPr>
            <w:r/>
            <w:r>
              <w:rPr>
                <w:sz w:val="19"/>
              </w:rPr>
              <w:t>5,901</w:t>
            </w:r>
          </w:p>
        </w:tc>
        <w:tc>
          <w:tcPr>
            <w:tcW w:type="dxa" w:w="1728"/>
            <w:shd w:val="clear" w:color="auto" w:fill="F3F5FA"/>
          </w:tcPr>
          <w:p>
            <w:pPr>
              <w:keepNext/>
              <w:spacing w:after="40" w:before="40"/>
              <w:jc w:val="right"/>
            </w:pPr>
            <w:r/>
            <w:r>
              <w:rPr>
                <w:sz w:val="19"/>
              </w:rPr>
              <w:t>23.6%</w:t>
            </w:r>
          </w:p>
        </w:tc>
        <w:tc>
          <w:tcPr>
            <w:tcW w:type="dxa" w:w="2016"/>
            <w:shd w:val="clear" w:color="auto" w:fill="F3F5FA"/>
          </w:tcPr>
          <w:p>
            <w:pPr>
              <w:keepNext/>
              <w:spacing w:after="40" w:before="40"/>
              <w:jc w:val="right"/>
            </w:pPr>
            <w:r/>
            <w:r>
              <w:rPr>
                <w:sz w:val="19"/>
              </w:rPr>
              <w:t>$100,711</w:t>
            </w:r>
          </w:p>
        </w:tc>
      </w:tr>
      <w:tr>
        <w:tc>
          <w:tcPr>
            <w:tcW w:type="dxa" w:w="3744"/>
          </w:tcPr>
          <w:p>
            <w:pPr>
              <w:keepNext/>
              <w:spacing w:after="40" w:before="40"/>
            </w:pPr>
            <w:r/>
            <w:r>
              <w:rPr>
                <w:sz w:val="19"/>
              </w:rPr>
              <w:t>Partner: yes</w:t>
            </w:r>
          </w:p>
        </w:tc>
        <w:tc>
          <w:tcPr>
            <w:tcW w:type="dxa" w:w="1728"/>
          </w:tcPr>
          <w:p>
            <w:pPr>
              <w:keepNext/>
              <w:spacing w:after="40" w:before="40"/>
              <w:jc w:val="right"/>
            </w:pPr>
            <w:r/>
            <w:r>
              <w:rPr>
                <w:sz w:val="19"/>
              </w:rPr>
              <w:t>3,402</w:t>
            </w:r>
          </w:p>
        </w:tc>
        <w:tc>
          <w:tcPr>
            <w:tcW w:type="dxa" w:w="1728"/>
          </w:tcPr>
          <w:p>
            <w:pPr>
              <w:keepNext/>
              <w:spacing w:after="40" w:before="40"/>
              <w:jc w:val="right"/>
            </w:pPr>
            <w:r/>
            <w:r>
              <w:rPr>
                <w:sz w:val="19"/>
              </w:rPr>
              <w:t>19.7%</w:t>
            </w:r>
          </w:p>
        </w:tc>
        <w:tc>
          <w:tcPr>
            <w:tcW w:type="dxa" w:w="2016"/>
          </w:tcPr>
          <w:p>
            <w:pPr>
              <w:keepNext/>
              <w:spacing w:after="40" w:before="40"/>
              <w:jc w:val="right"/>
            </w:pPr>
            <w:r/>
            <w:r>
              <w:rPr>
                <w:sz w:val="19"/>
              </w:rPr>
              <w:t>$53,390</w:t>
            </w:r>
          </w:p>
        </w:tc>
      </w:tr>
      <w:tr>
        <w:tc>
          <w:tcPr>
            <w:tcW w:type="dxa" w:w="3744"/>
            <w:shd w:val="clear" w:color="auto" w:fill="F3F5FA"/>
          </w:tcPr>
          <w:p>
            <w:pPr>
              <w:keepNext/>
              <w:spacing w:after="40" w:before="40"/>
            </w:pPr>
            <w:r/>
            <w:r>
              <w:rPr>
                <w:sz w:val="19"/>
              </w:rPr>
              <w:t>Partner: no</w:t>
            </w:r>
          </w:p>
        </w:tc>
        <w:tc>
          <w:tcPr>
            <w:tcW w:type="dxa" w:w="1728"/>
            <w:shd w:val="clear" w:color="auto" w:fill="F3F5FA"/>
          </w:tcPr>
          <w:p>
            <w:pPr>
              <w:keepNext/>
              <w:spacing w:after="40" w:before="40"/>
              <w:jc w:val="right"/>
            </w:pPr>
            <w:r/>
            <w:r>
              <w:rPr>
                <w:sz w:val="19"/>
              </w:rPr>
              <w:t>3,641</w:t>
            </w:r>
          </w:p>
        </w:tc>
        <w:tc>
          <w:tcPr>
            <w:tcW w:type="dxa" w:w="1728"/>
            <w:shd w:val="clear" w:color="auto" w:fill="F3F5FA"/>
          </w:tcPr>
          <w:p>
            <w:pPr>
              <w:keepNext/>
              <w:spacing w:after="40" w:before="40"/>
              <w:jc w:val="right"/>
            </w:pPr>
            <w:r/>
            <w:r>
              <w:rPr>
                <w:sz w:val="19"/>
              </w:rPr>
              <w:t>33.0%</w:t>
            </w:r>
          </w:p>
        </w:tc>
        <w:tc>
          <w:tcPr>
            <w:tcW w:type="dxa" w:w="2016"/>
            <w:shd w:val="clear" w:color="auto" w:fill="F3F5FA"/>
          </w:tcPr>
          <w:p>
            <w:pPr>
              <w:keepNext/>
              <w:spacing w:after="40" w:before="40"/>
              <w:jc w:val="right"/>
            </w:pPr>
            <w:r/>
            <w:r>
              <w:rPr>
                <w:sz w:val="19"/>
              </w:rPr>
              <w:t>$85,741</w:t>
            </w:r>
          </w:p>
        </w:tc>
      </w:tr>
      <w:tr>
        <w:tc>
          <w:tcPr>
            <w:tcW w:type="dxa" w:w="3744"/>
          </w:tcPr>
          <w:p>
            <w:pPr>
              <w:keepNext/>
              <w:spacing w:after="40" w:before="40"/>
            </w:pPr>
            <w:r/>
            <w:r>
              <w:rPr>
                <w:sz w:val="19"/>
              </w:rPr>
              <w:t>Dependents: yes</w:t>
            </w:r>
          </w:p>
        </w:tc>
        <w:tc>
          <w:tcPr>
            <w:tcW w:type="dxa" w:w="1728"/>
          </w:tcPr>
          <w:p>
            <w:pPr>
              <w:keepNext/>
              <w:spacing w:after="40" w:before="40"/>
              <w:jc w:val="right"/>
            </w:pPr>
            <w:r/>
            <w:r>
              <w:rPr>
                <w:sz w:val="19"/>
              </w:rPr>
              <w:t>2,110</w:t>
            </w:r>
          </w:p>
        </w:tc>
        <w:tc>
          <w:tcPr>
            <w:tcW w:type="dxa" w:w="1728"/>
          </w:tcPr>
          <w:p>
            <w:pPr>
              <w:keepNext/>
              <w:spacing w:after="40" w:before="40"/>
              <w:jc w:val="right"/>
            </w:pPr>
            <w:r/>
            <w:r>
              <w:rPr>
                <w:sz w:val="19"/>
              </w:rPr>
              <w:t>15.4%</w:t>
            </w:r>
          </w:p>
        </w:tc>
        <w:tc>
          <w:tcPr>
            <w:tcW w:type="dxa" w:w="2016"/>
          </w:tcPr>
          <w:p>
            <w:pPr>
              <w:keepNext/>
              <w:spacing w:after="40" w:before="40"/>
              <w:jc w:val="right"/>
            </w:pPr>
            <w:r/>
            <w:r>
              <w:rPr>
                <w:sz w:val="19"/>
              </w:rPr>
              <w:t>$23,754</w:t>
            </w:r>
          </w:p>
        </w:tc>
      </w:tr>
      <w:tr>
        <w:tc>
          <w:tcPr>
            <w:tcW w:type="dxa" w:w="3744"/>
            <w:shd w:val="clear" w:color="auto" w:fill="F3F5FA"/>
          </w:tcPr>
          <w:p>
            <w:pPr>
              <w:keepNext/>
              <w:spacing w:after="40" w:before="40"/>
            </w:pPr>
            <w:r/>
            <w:r>
              <w:rPr>
                <w:sz w:val="19"/>
              </w:rPr>
              <w:t>Dependents: no</w:t>
            </w:r>
          </w:p>
        </w:tc>
        <w:tc>
          <w:tcPr>
            <w:tcW w:type="dxa" w:w="1728"/>
            <w:shd w:val="clear" w:color="auto" w:fill="F3F5FA"/>
          </w:tcPr>
          <w:p>
            <w:pPr>
              <w:keepNext/>
              <w:spacing w:after="40" w:before="40"/>
              <w:jc w:val="right"/>
            </w:pPr>
            <w:r/>
            <w:r>
              <w:rPr>
                <w:sz w:val="19"/>
              </w:rPr>
              <w:t>4,933</w:t>
            </w:r>
          </w:p>
        </w:tc>
        <w:tc>
          <w:tcPr>
            <w:tcW w:type="dxa" w:w="1728"/>
            <w:shd w:val="clear" w:color="auto" w:fill="F3F5FA"/>
          </w:tcPr>
          <w:p>
            <w:pPr>
              <w:keepNext/>
              <w:spacing w:after="40" w:before="40"/>
              <w:jc w:val="right"/>
            </w:pPr>
            <w:r/>
            <w:r>
              <w:rPr>
                <w:sz w:val="19"/>
              </w:rPr>
              <w:t>31.3%</w:t>
            </w:r>
          </w:p>
        </w:tc>
        <w:tc>
          <w:tcPr>
            <w:tcW w:type="dxa" w:w="2016"/>
            <w:shd w:val="clear" w:color="auto" w:fill="F3F5FA"/>
          </w:tcPr>
          <w:p>
            <w:pPr>
              <w:keepNext/>
              <w:spacing w:after="40" w:before="40"/>
              <w:jc w:val="right"/>
            </w:pPr>
            <w:r/>
            <w:r>
              <w:rPr>
                <w:sz w:val="19"/>
              </w:rPr>
              <w:t>$115,376</w:t>
            </w:r>
          </w:p>
        </w:tc>
      </w:tr>
      <w:tr>
        <w:tc>
          <w:tcPr>
            <w:tcW w:type="dxa" w:w="3744"/>
          </w:tcPr>
          <w:p>
            <w:pPr>
              <w:keepNext/>
              <w:spacing w:after="40" w:before="40"/>
            </w:pPr>
            <w:r/>
            <w:r>
              <w:rPr>
                <w:sz w:val="19"/>
              </w:rPr>
              <w:t>Gender: Female</w:t>
            </w:r>
          </w:p>
        </w:tc>
        <w:tc>
          <w:tcPr>
            <w:tcW w:type="dxa" w:w="1728"/>
          </w:tcPr>
          <w:p>
            <w:pPr>
              <w:keepNext/>
              <w:spacing w:after="40" w:before="40"/>
              <w:jc w:val="right"/>
            </w:pPr>
            <w:r/>
            <w:r>
              <w:rPr>
                <w:sz w:val="19"/>
              </w:rPr>
              <w:t>3,488</w:t>
            </w:r>
          </w:p>
        </w:tc>
        <w:tc>
          <w:tcPr>
            <w:tcW w:type="dxa" w:w="1728"/>
          </w:tcPr>
          <w:p>
            <w:pPr>
              <w:keepNext/>
              <w:spacing w:after="40" w:before="40"/>
              <w:jc w:val="right"/>
            </w:pPr>
            <w:r/>
            <w:r>
              <w:rPr>
                <w:sz w:val="19"/>
              </w:rPr>
              <w:t>26.9%</w:t>
            </w:r>
          </w:p>
        </w:tc>
        <w:tc>
          <w:tcPr>
            <w:tcW w:type="dxa" w:w="2016"/>
          </w:tcPr>
          <w:p>
            <w:pPr>
              <w:keepNext/>
              <w:spacing w:after="40" w:before="40"/>
              <w:jc w:val="right"/>
            </w:pPr>
            <w:r/>
            <w:r>
              <w:rPr>
                <w:sz w:val="19"/>
              </w:rPr>
              <w:t>$70,249</w:t>
            </w:r>
          </w:p>
        </w:tc>
      </w:tr>
      <w:tr>
        <w:tc>
          <w:tcPr>
            <w:tcW w:type="dxa" w:w="3744"/>
            <w:shd w:val="clear" w:color="auto" w:fill="F3F5FA"/>
          </w:tcPr>
          <w:p>
            <w:pPr>
              <w:keepNext w:val="0"/>
              <w:spacing w:after="40" w:before="40"/>
            </w:pPr>
            <w:r/>
            <w:r>
              <w:rPr>
                <w:sz w:val="19"/>
              </w:rPr>
              <w:t>Gender: Male</w:t>
            </w:r>
          </w:p>
        </w:tc>
        <w:tc>
          <w:tcPr>
            <w:tcW w:type="dxa" w:w="1728"/>
            <w:shd w:val="clear" w:color="auto" w:fill="F3F5FA"/>
          </w:tcPr>
          <w:p>
            <w:pPr>
              <w:keepNext w:val="0"/>
              <w:spacing w:after="40" w:before="40"/>
              <w:jc w:val="right"/>
            </w:pPr>
            <w:r/>
            <w:r>
              <w:rPr>
                <w:sz w:val="19"/>
              </w:rPr>
              <w:t>3,555</w:t>
            </w:r>
          </w:p>
        </w:tc>
        <w:tc>
          <w:tcPr>
            <w:tcW w:type="dxa" w:w="1728"/>
            <w:shd w:val="clear" w:color="auto" w:fill="F3F5FA"/>
          </w:tcPr>
          <w:p>
            <w:pPr>
              <w:keepNext w:val="0"/>
              <w:spacing w:after="40" w:before="40"/>
              <w:jc w:val="right"/>
            </w:pPr>
            <w:r/>
            <w:r>
              <w:rPr>
                <w:sz w:val="19"/>
              </w:rPr>
              <w:t>26.2%</w:t>
            </w:r>
          </w:p>
        </w:tc>
        <w:tc>
          <w:tcPr>
            <w:tcW w:type="dxa" w:w="2016"/>
            <w:shd w:val="clear" w:color="auto" w:fill="F3F5FA"/>
          </w:tcPr>
          <w:p>
            <w:pPr>
              <w:keepNext w:val="0"/>
              <w:spacing w:after="40" w:before="40"/>
              <w:jc w:val="right"/>
            </w:pPr>
            <w:r/>
            <w:r>
              <w:rPr>
                <w:sz w:val="19"/>
              </w:rPr>
              <w:t>$68,882</w:t>
            </w:r>
          </w:p>
        </w:tc>
      </w:tr>
    </w:tbl>
    <w:p>
      <w:pPr>
        <w:spacing w:after="40"/>
      </w:pPr>
    </w:p>
    <w:p>
      <w:pPr>
        <w:pStyle w:val="Heading2"/>
      </w:pPr>
      <w:r>
        <w:t>3.6 Services linked to lower churn</w:t>
      </w:r>
    </w:p>
    <w:p>
      <w:r>
        <w:rPr>
          <w:b w:val="0"/>
          <w:i w:val="0"/>
        </w:rPr>
        <w:t>Among internet customers, online security and tech support go with much lower churn. Streaming services make little difference. Customers with no add-ons at all churn at 52.2%, against 28.9% for those with at least one.</w:t>
      </w:r>
    </w:p>
    <w:tbl>
      <w:tblPr>
        <w:tblStyle w:val="TableGrid"/>
        <w:tblW w:type="auto" w:w="0"/>
        <w:jc w:val="center"/>
        <w:tblLayout w:type="fixed"/>
        <w:tblLook w:firstColumn="1" w:firstRow="1" w:lastColumn="0" w:lastRow="0" w:noHBand="0" w:noVBand="1" w:val="04A0"/>
      </w:tblPr>
      <w:tblGrid>
        <w:gridCol w:w="3312"/>
        <w:gridCol w:w="2304"/>
        <w:gridCol w:w="1800"/>
        <w:gridCol w:w="1800"/>
      </w:tblGrid>
      <w:tr>
        <w:tc>
          <w:tcPr>
            <w:tcW w:type="dxa" w:w="3312"/>
            <w:shd w:val="clear" w:color="auto" w:fill="14213D"/>
          </w:tcPr>
          <w:p>
            <w:pPr>
              <w:keepNext/>
              <w:spacing w:after="40" w:before="40"/>
            </w:pPr>
            <w:r/>
            <w:r>
              <w:rPr>
                <w:b/>
                <w:color w:val="FFFFFF"/>
                <w:sz w:val="19"/>
              </w:rPr>
              <w:t>Service</w:t>
            </w:r>
          </w:p>
        </w:tc>
        <w:tc>
          <w:tcPr>
            <w:tcW w:type="dxa" w:w="2304"/>
            <w:shd w:val="clear" w:color="auto" w:fill="14213D"/>
          </w:tcPr>
          <w:p>
            <w:pPr>
              <w:keepNext/>
              <w:spacing w:after="40" w:before="40"/>
            </w:pPr>
            <w:r/>
            <w:r>
              <w:rPr>
                <w:b/>
                <w:color w:val="FFFFFF"/>
                <w:sz w:val="19"/>
              </w:rPr>
              <w:t>Customers who have it</w:t>
            </w:r>
          </w:p>
        </w:tc>
        <w:tc>
          <w:tcPr>
            <w:tcW w:type="dxa" w:w="1800"/>
            <w:shd w:val="clear" w:color="auto" w:fill="14213D"/>
          </w:tcPr>
          <w:p>
            <w:pPr>
              <w:keepNext/>
              <w:spacing w:after="40" w:before="40"/>
            </w:pPr>
            <w:r/>
            <w:r>
              <w:rPr>
                <w:b/>
                <w:color w:val="FFFFFF"/>
                <w:sz w:val="19"/>
              </w:rPr>
              <w:t>Churn with it</w:t>
            </w:r>
          </w:p>
        </w:tc>
        <w:tc>
          <w:tcPr>
            <w:tcW w:type="dxa" w:w="1800"/>
            <w:shd w:val="clear" w:color="auto" w:fill="14213D"/>
          </w:tcPr>
          <w:p>
            <w:pPr>
              <w:keepNext/>
              <w:spacing w:after="40" w:before="40"/>
            </w:pPr>
            <w:r/>
            <w:r>
              <w:rPr>
                <w:b/>
                <w:color w:val="FFFFFF"/>
                <w:sz w:val="19"/>
              </w:rPr>
              <w:t>Churn without it</w:t>
            </w:r>
          </w:p>
        </w:tc>
      </w:tr>
      <w:tr>
        <w:tc>
          <w:tcPr>
            <w:tcW w:type="dxa" w:w="3312"/>
          </w:tcPr>
          <w:p>
            <w:pPr>
              <w:keepNext/>
              <w:spacing w:after="40" w:before="40"/>
            </w:pPr>
            <w:r/>
            <w:r>
              <w:rPr>
                <w:sz w:val="19"/>
              </w:rPr>
              <w:t>Online security</w:t>
            </w:r>
          </w:p>
        </w:tc>
        <w:tc>
          <w:tcPr>
            <w:tcW w:type="dxa" w:w="2304"/>
          </w:tcPr>
          <w:p>
            <w:pPr>
              <w:keepNext/>
              <w:spacing w:after="40" w:before="40"/>
              <w:jc w:val="right"/>
            </w:pPr>
            <w:r/>
            <w:r>
              <w:rPr>
                <w:sz w:val="19"/>
              </w:rPr>
              <w:t>37%</w:t>
            </w:r>
          </w:p>
        </w:tc>
        <w:tc>
          <w:tcPr>
            <w:tcW w:type="dxa" w:w="1800"/>
          </w:tcPr>
          <w:p>
            <w:pPr>
              <w:keepNext/>
              <w:spacing w:after="40" w:before="40"/>
              <w:jc w:val="right"/>
            </w:pPr>
            <w:r/>
            <w:r>
              <w:rPr>
                <w:sz w:val="19"/>
              </w:rPr>
              <w:t>14.6%</w:t>
            </w:r>
          </w:p>
        </w:tc>
        <w:tc>
          <w:tcPr>
            <w:tcW w:type="dxa" w:w="1800"/>
          </w:tcPr>
          <w:p>
            <w:pPr>
              <w:keepNext/>
              <w:spacing w:after="40" w:before="40"/>
              <w:jc w:val="right"/>
            </w:pPr>
            <w:r/>
            <w:r>
              <w:rPr>
                <w:sz w:val="19"/>
              </w:rPr>
              <w:t>41.8%</w:t>
            </w:r>
          </w:p>
        </w:tc>
      </w:tr>
      <w:tr>
        <w:tc>
          <w:tcPr>
            <w:tcW w:type="dxa" w:w="3312"/>
            <w:shd w:val="clear" w:color="auto" w:fill="F3F5FA"/>
          </w:tcPr>
          <w:p>
            <w:pPr>
              <w:keepNext/>
              <w:spacing w:after="40" w:before="40"/>
            </w:pPr>
            <w:r/>
            <w:r>
              <w:rPr>
                <w:sz w:val="19"/>
              </w:rPr>
              <w:t>Tech support</w:t>
            </w:r>
          </w:p>
        </w:tc>
        <w:tc>
          <w:tcPr>
            <w:tcW w:type="dxa" w:w="2304"/>
            <w:shd w:val="clear" w:color="auto" w:fill="F3F5FA"/>
          </w:tcPr>
          <w:p>
            <w:pPr>
              <w:keepNext/>
              <w:spacing w:after="40" w:before="40"/>
              <w:jc w:val="right"/>
            </w:pPr>
            <w:r/>
            <w:r>
              <w:rPr>
                <w:sz w:val="19"/>
              </w:rPr>
              <w:t>37%</w:t>
            </w:r>
          </w:p>
        </w:tc>
        <w:tc>
          <w:tcPr>
            <w:tcW w:type="dxa" w:w="1800"/>
            <w:shd w:val="clear" w:color="auto" w:fill="F3F5FA"/>
          </w:tcPr>
          <w:p>
            <w:pPr>
              <w:keepNext/>
              <w:spacing w:after="40" w:before="40"/>
              <w:jc w:val="right"/>
            </w:pPr>
            <w:r/>
            <w:r>
              <w:rPr>
                <w:sz w:val="19"/>
              </w:rPr>
              <w:t>15.2%</w:t>
            </w:r>
          </w:p>
        </w:tc>
        <w:tc>
          <w:tcPr>
            <w:tcW w:type="dxa" w:w="1800"/>
            <w:shd w:val="clear" w:color="auto" w:fill="F3F5FA"/>
          </w:tcPr>
          <w:p>
            <w:pPr>
              <w:keepNext/>
              <w:spacing w:after="40" w:before="40"/>
              <w:jc w:val="right"/>
            </w:pPr>
            <w:r/>
            <w:r>
              <w:rPr>
                <w:sz w:val="19"/>
              </w:rPr>
              <w:t>41.6%</w:t>
            </w:r>
          </w:p>
        </w:tc>
      </w:tr>
      <w:tr>
        <w:tc>
          <w:tcPr>
            <w:tcW w:type="dxa" w:w="3312"/>
          </w:tcPr>
          <w:p>
            <w:pPr>
              <w:keepNext/>
              <w:spacing w:after="40" w:before="40"/>
            </w:pPr>
            <w:r/>
            <w:r>
              <w:rPr>
                <w:sz w:val="19"/>
              </w:rPr>
              <w:t>Online backup</w:t>
            </w:r>
          </w:p>
        </w:tc>
        <w:tc>
          <w:tcPr>
            <w:tcW w:type="dxa" w:w="2304"/>
          </w:tcPr>
          <w:p>
            <w:pPr>
              <w:keepNext/>
              <w:spacing w:after="40" w:before="40"/>
              <w:jc w:val="right"/>
            </w:pPr>
            <w:r/>
            <w:r>
              <w:rPr>
                <w:sz w:val="19"/>
              </w:rPr>
              <w:t>44%</w:t>
            </w:r>
          </w:p>
        </w:tc>
        <w:tc>
          <w:tcPr>
            <w:tcW w:type="dxa" w:w="1800"/>
          </w:tcPr>
          <w:p>
            <w:pPr>
              <w:keepNext/>
              <w:spacing w:after="40" w:before="40"/>
              <w:jc w:val="right"/>
            </w:pPr>
            <w:r/>
            <w:r>
              <w:rPr>
                <w:sz w:val="19"/>
              </w:rPr>
              <w:t>21.5%</w:t>
            </w:r>
          </w:p>
        </w:tc>
        <w:tc>
          <w:tcPr>
            <w:tcW w:type="dxa" w:w="1800"/>
          </w:tcPr>
          <w:p>
            <w:pPr>
              <w:keepNext/>
              <w:spacing w:after="40" w:before="40"/>
              <w:jc w:val="right"/>
            </w:pPr>
            <w:r/>
            <w:r>
              <w:rPr>
                <w:sz w:val="19"/>
              </w:rPr>
              <w:t>39.9%</w:t>
            </w:r>
          </w:p>
        </w:tc>
      </w:tr>
      <w:tr>
        <w:tc>
          <w:tcPr>
            <w:tcW w:type="dxa" w:w="3312"/>
            <w:shd w:val="clear" w:color="auto" w:fill="F3F5FA"/>
          </w:tcPr>
          <w:p>
            <w:pPr>
              <w:keepNext/>
              <w:spacing w:after="40" w:before="40"/>
            </w:pPr>
            <w:r/>
            <w:r>
              <w:rPr>
                <w:sz w:val="19"/>
              </w:rPr>
              <w:t>Device protection</w:t>
            </w:r>
          </w:p>
        </w:tc>
        <w:tc>
          <w:tcPr>
            <w:tcW w:type="dxa" w:w="2304"/>
            <w:shd w:val="clear" w:color="auto" w:fill="F3F5FA"/>
          </w:tcPr>
          <w:p>
            <w:pPr>
              <w:keepNext/>
              <w:spacing w:after="40" w:before="40"/>
              <w:jc w:val="right"/>
            </w:pPr>
            <w:r/>
            <w:r>
              <w:rPr>
                <w:sz w:val="19"/>
              </w:rPr>
              <w:t>44%</w:t>
            </w:r>
          </w:p>
        </w:tc>
        <w:tc>
          <w:tcPr>
            <w:tcW w:type="dxa" w:w="1800"/>
            <w:shd w:val="clear" w:color="auto" w:fill="F3F5FA"/>
          </w:tcPr>
          <w:p>
            <w:pPr>
              <w:keepNext/>
              <w:spacing w:after="40" w:before="40"/>
              <w:jc w:val="right"/>
            </w:pPr>
            <w:r/>
            <w:r>
              <w:rPr>
                <w:sz w:val="19"/>
              </w:rPr>
              <w:t>22.5%</w:t>
            </w:r>
          </w:p>
        </w:tc>
        <w:tc>
          <w:tcPr>
            <w:tcW w:type="dxa" w:w="1800"/>
            <w:shd w:val="clear" w:color="auto" w:fill="F3F5FA"/>
          </w:tcPr>
          <w:p>
            <w:pPr>
              <w:keepNext/>
              <w:spacing w:after="40" w:before="40"/>
              <w:jc w:val="right"/>
            </w:pPr>
            <w:r/>
            <w:r>
              <w:rPr>
                <w:sz w:val="19"/>
              </w:rPr>
              <w:t>39.1%</w:t>
            </w:r>
          </w:p>
        </w:tc>
      </w:tr>
      <w:tr>
        <w:tc>
          <w:tcPr>
            <w:tcW w:type="dxa" w:w="3312"/>
          </w:tcPr>
          <w:p>
            <w:pPr>
              <w:keepNext/>
              <w:spacing w:after="40" w:before="40"/>
            </w:pPr>
            <w:r/>
            <w:r>
              <w:rPr>
                <w:sz w:val="19"/>
              </w:rPr>
              <w:t>Streaming movies</w:t>
            </w:r>
          </w:p>
        </w:tc>
        <w:tc>
          <w:tcPr>
            <w:tcW w:type="dxa" w:w="2304"/>
          </w:tcPr>
          <w:p>
            <w:pPr>
              <w:keepNext/>
              <w:spacing w:after="40" w:before="40"/>
              <w:jc w:val="right"/>
            </w:pPr>
            <w:r/>
            <w:r>
              <w:rPr>
                <w:sz w:val="19"/>
              </w:rPr>
              <w:t>50%</w:t>
            </w:r>
          </w:p>
        </w:tc>
        <w:tc>
          <w:tcPr>
            <w:tcW w:type="dxa" w:w="1800"/>
          </w:tcPr>
          <w:p>
            <w:pPr>
              <w:keepNext/>
              <w:spacing w:after="40" w:before="40"/>
              <w:jc w:val="right"/>
            </w:pPr>
            <w:r/>
            <w:r>
              <w:rPr>
                <w:sz w:val="19"/>
              </w:rPr>
              <w:t>29.9%</w:t>
            </w:r>
          </w:p>
        </w:tc>
        <w:tc>
          <w:tcPr>
            <w:tcW w:type="dxa" w:w="1800"/>
          </w:tcPr>
          <w:p>
            <w:pPr>
              <w:keepNext/>
              <w:spacing w:after="40" w:before="40"/>
              <w:jc w:val="right"/>
            </w:pPr>
            <w:r/>
            <w:r>
              <w:rPr>
                <w:sz w:val="19"/>
              </w:rPr>
              <w:t>33.7%</w:t>
            </w:r>
          </w:p>
        </w:tc>
      </w:tr>
      <w:tr>
        <w:tc>
          <w:tcPr>
            <w:tcW w:type="dxa" w:w="3312"/>
            <w:shd w:val="clear" w:color="auto" w:fill="F3F5FA"/>
          </w:tcPr>
          <w:p>
            <w:pPr>
              <w:keepNext w:val="0"/>
              <w:spacing w:after="40" w:before="40"/>
            </w:pPr>
            <w:r/>
            <w:r>
              <w:rPr>
                <w:sz w:val="19"/>
              </w:rPr>
              <w:t>Streaming TV</w:t>
            </w:r>
          </w:p>
        </w:tc>
        <w:tc>
          <w:tcPr>
            <w:tcW w:type="dxa" w:w="2304"/>
            <w:shd w:val="clear" w:color="auto" w:fill="F3F5FA"/>
          </w:tcPr>
          <w:p>
            <w:pPr>
              <w:keepNext w:val="0"/>
              <w:spacing w:after="40" w:before="40"/>
              <w:jc w:val="right"/>
            </w:pPr>
            <w:r/>
            <w:r>
              <w:rPr>
                <w:sz w:val="19"/>
              </w:rPr>
              <w:t>49%</w:t>
            </w:r>
          </w:p>
        </w:tc>
        <w:tc>
          <w:tcPr>
            <w:tcW w:type="dxa" w:w="1800"/>
            <w:shd w:val="clear" w:color="auto" w:fill="F3F5FA"/>
          </w:tcPr>
          <w:p>
            <w:pPr>
              <w:keepNext w:val="0"/>
              <w:spacing w:after="40" w:before="40"/>
              <w:jc w:val="right"/>
            </w:pPr>
            <w:r/>
            <w:r>
              <w:rPr>
                <w:sz w:val="19"/>
              </w:rPr>
              <w:t>30.1%</w:t>
            </w:r>
          </w:p>
        </w:tc>
        <w:tc>
          <w:tcPr>
            <w:tcW w:type="dxa" w:w="1800"/>
            <w:shd w:val="clear" w:color="auto" w:fill="F3F5FA"/>
          </w:tcPr>
          <w:p>
            <w:pPr>
              <w:keepNext w:val="0"/>
              <w:spacing w:after="40" w:before="40"/>
              <w:jc w:val="right"/>
            </w:pPr>
            <w:r/>
            <w:r>
              <w:rPr>
                <w:sz w:val="19"/>
              </w:rPr>
              <w:t>33.5%</w:t>
            </w:r>
          </w:p>
        </w:tc>
      </w:tr>
    </w:tbl>
    <w:p>
      <w:pPr>
        <w:spacing w:after="40"/>
      </w:pPr>
    </w:p>
    <w:tbl>
      <w:tblPr>
        <w:tblW w:type="auto" w:w="0"/>
        <w:jc w:val="center"/>
        <w:tblLayout w:type="fixed"/>
        <w:tblLook w:firstColumn="1" w:firstRow="1" w:lastColumn="0" w:lastRow="0" w:noHBand="0" w:noVBand="1" w:val="04A0"/>
      </w:tblPr>
      <w:tblGrid>
        <w:gridCol w:w="4658"/>
        <w:gridCol w:w="4658"/>
      </w:tblGrid>
      <w:tr>
        <w:tc>
          <w:tcPr>
            <w:tcW w:type="dxa" w:w="4464"/>
          </w:tcPr>
          <w:p>
            <w:pPr>
              <w:keepNext/>
              <w:jc w:val="center"/>
            </w:pPr>
            <w:r>
              <w:drawing>
                <wp:inline xmlns:a="http://schemas.openxmlformats.org/drawingml/2006/main" xmlns:pic="http://schemas.openxmlformats.org/drawingml/2006/picture">
                  <wp:extent cx="2743200" cy="2743200"/>
                  <wp:docPr id="5" name="Picture 5"/>
                  <wp:cNvGraphicFramePr>
                    <a:graphicFrameLocks noChangeAspect="1"/>
                  </wp:cNvGraphicFramePr>
                  <a:graphic>
                    <a:graphicData uri="http://schemas.openxmlformats.org/drawingml/2006/picture">
                      <pic:pic>
                        <pic:nvPicPr>
                          <pic:cNvPr id="0" name="04-churn-by-payment-method.png"/>
                          <pic:cNvPicPr/>
                        </pic:nvPicPr>
                        <pic:blipFill>
                          <a:blip r:embed="rId14"/>
                          <a:stretch>
                            <a:fillRect/>
                          </a:stretch>
                        </pic:blipFill>
                        <pic:spPr>
                          <a:xfrm>
                            <a:off x="0" y="0"/>
                            <a:ext cx="2743200" cy="2743200"/>
                          </a:xfrm>
                          <a:prstGeom prst="rect"/>
                        </pic:spPr>
                      </pic:pic>
                    </a:graphicData>
                  </a:graphic>
                </wp:inline>
              </w:drawing>
            </w:r>
          </w:p>
        </w:tc>
        <w:tc>
          <w:tcPr>
            <w:tcW w:type="dxa" w:w="4464"/>
          </w:tcPr>
          <w:p>
            <w:pPr>
              <w:keepNext/>
              <w:jc w:val="center"/>
            </w:pPr>
            <w:r>
              <w:drawing>
                <wp:inline xmlns:a="http://schemas.openxmlformats.org/drawingml/2006/main" xmlns:pic="http://schemas.openxmlformats.org/drawingml/2006/picture">
                  <wp:extent cx="2743200" cy="2743200"/>
                  <wp:docPr id="6" name="Picture 6"/>
                  <wp:cNvGraphicFramePr>
                    <a:graphicFrameLocks noChangeAspect="1"/>
                  </wp:cNvGraphicFramePr>
                  <a:graphic>
                    <a:graphicData uri="http://schemas.openxmlformats.org/drawingml/2006/picture">
                      <pic:pic>
                        <pic:nvPicPr>
                          <pic:cNvPr id="0" name="05-services-vs-churn.png"/>
                          <pic:cNvPicPr/>
                        </pic:nvPicPr>
                        <pic:blipFill>
                          <a:blip r:embed="rId15"/>
                          <a:stretch>
                            <a:fillRect/>
                          </a:stretch>
                        </pic:blipFill>
                        <pic:spPr>
                          <a:xfrm>
                            <a:off x="0" y="0"/>
                            <a:ext cx="2743200" cy="2743200"/>
                          </a:xfrm>
                          <a:prstGeom prst="rect"/>
                        </pic:spPr>
                      </pic:pic>
                    </a:graphicData>
                  </a:graphic>
                </wp:inline>
              </w:drawing>
            </w:r>
          </w:p>
        </w:tc>
      </w:tr>
    </w:tbl>
    <w:p>
      <w:pPr>
        <w:spacing w:after="200"/>
        <w:jc w:val="center"/>
      </w:pPr>
      <w:r>
        <w:rPr>
          <w:b w:val="0"/>
          <w:i/>
          <w:color w:val="6B7588"/>
          <w:sz w:val="18"/>
        </w:rPr>
        <w:t>Figures 4 and 5. Churn rate by payment method, and with and without each service (internet customers only)</w:t>
      </w:r>
    </w:p>
    <w:p>
      <w:pPr>
        <w:pStyle w:val="Heading1"/>
        <w:pageBreakBefore/>
      </w:pPr>
      <w:r>
        <w:t>4. Customer Segments</w:t>
      </w:r>
    </w:p>
    <w:p>
      <w:r>
        <w:rPr>
          <w:b w:val="0"/>
          <w:i w:val="0"/>
        </w:rPr>
        <w:t>Customers were grouped into five named segments using simple rules a sales or service team can apply without a data scientist. The segments do not overlap, and every customer belongs to exactly one.</w:t>
      </w:r>
    </w:p>
    <w:tbl>
      <w:tblPr>
        <w:tblStyle w:val="TableGrid"/>
        <w:tblW w:type="auto" w:w="0"/>
        <w:jc w:val="center"/>
        <w:tblLayout w:type="fixed"/>
        <w:tblLook w:firstColumn="1" w:firstRow="1" w:lastColumn="0" w:lastRow="0" w:noHBand="0" w:noVBand="1" w:val="04A0"/>
      </w:tblPr>
      <w:tblGrid>
        <w:gridCol w:w="1872"/>
        <w:gridCol w:w="3096"/>
        <w:gridCol w:w="1368"/>
        <w:gridCol w:w="864"/>
        <w:gridCol w:w="1008"/>
        <w:gridCol w:w="1080"/>
      </w:tblGrid>
      <w:tr>
        <w:tc>
          <w:tcPr>
            <w:tcW w:type="dxa" w:w="1872"/>
            <w:shd w:val="clear" w:color="auto" w:fill="14213D"/>
          </w:tcPr>
          <w:p>
            <w:pPr>
              <w:keepNext/>
              <w:spacing w:after="40" w:before="40"/>
            </w:pPr>
            <w:r/>
            <w:r>
              <w:rPr>
                <w:b/>
                <w:color w:val="FFFFFF"/>
                <w:sz w:val="19"/>
              </w:rPr>
              <w:t>Segment</w:t>
            </w:r>
          </w:p>
        </w:tc>
        <w:tc>
          <w:tcPr>
            <w:tcW w:type="dxa" w:w="3096"/>
            <w:shd w:val="clear" w:color="auto" w:fill="14213D"/>
          </w:tcPr>
          <w:p>
            <w:pPr>
              <w:keepNext/>
              <w:spacing w:after="40" w:before="40"/>
            </w:pPr>
            <w:r/>
            <w:r>
              <w:rPr>
                <w:b/>
                <w:color w:val="FFFFFF"/>
                <w:sz w:val="19"/>
              </w:rPr>
              <w:t>Rule</w:t>
            </w:r>
          </w:p>
        </w:tc>
        <w:tc>
          <w:tcPr>
            <w:tcW w:type="dxa" w:w="1368"/>
            <w:shd w:val="clear" w:color="auto" w:fill="14213D"/>
          </w:tcPr>
          <w:p>
            <w:pPr>
              <w:keepNext/>
              <w:spacing w:after="40" w:before="40"/>
            </w:pPr>
            <w:r/>
            <w:r>
              <w:rPr>
                <w:b/>
                <w:color w:val="FFFFFF"/>
                <w:sz w:val="19"/>
              </w:rPr>
              <w:t>Customers</w:t>
            </w:r>
          </w:p>
        </w:tc>
        <w:tc>
          <w:tcPr>
            <w:tcW w:type="dxa" w:w="864"/>
            <w:shd w:val="clear" w:color="auto" w:fill="14213D"/>
          </w:tcPr>
          <w:p>
            <w:pPr>
              <w:keepNext/>
              <w:spacing w:after="40" w:before="40"/>
            </w:pPr>
            <w:r/>
            <w:r>
              <w:rPr>
                <w:b/>
                <w:color w:val="FFFFFF"/>
                <w:sz w:val="19"/>
              </w:rPr>
              <w:t>Churn</w:t>
            </w:r>
          </w:p>
        </w:tc>
        <w:tc>
          <w:tcPr>
            <w:tcW w:type="dxa" w:w="1008"/>
            <w:shd w:val="clear" w:color="auto" w:fill="14213D"/>
          </w:tcPr>
          <w:p>
            <w:pPr>
              <w:keepNext/>
              <w:spacing w:after="40" w:before="40"/>
            </w:pPr>
            <w:r/>
            <w:r>
              <w:rPr>
                <w:b/>
                <w:color w:val="FFFFFF"/>
                <w:sz w:val="19"/>
              </w:rPr>
              <w:t>Avg monthly</w:t>
            </w:r>
          </w:p>
        </w:tc>
        <w:tc>
          <w:tcPr>
            <w:tcW w:type="dxa" w:w="1080"/>
            <w:shd w:val="clear" w:color="auto" w:fill="14213D"/>
          </w:tcPr>
          <w:p>
            <w:pPr>
              <w:keepNext/>
              <w:spacing w:after="40" w:before="40"/>
            </w:pPr>
            <w:r/>
            <w:r>
              <w:rPr>
                <w:b/>
                <w:color w:val="FFFFFF"/>
                <w:sz w:val="19"/>
              </w:rPr>
              <w:t>Share of leavers</w:t>
            </w:r>
          </w:p>
        </w:tc>
      </w:tr>
      <w:tr>
        <w:tc>
          <w:tcPr>
            <w:tcW w:type="dxa" w:w="1872"/>
          </w:tcPr>
          <w:p>
            <w:pPr>
              <w:keepNext/>
              <w:spacing w:after="40" w:before="40"/>
            </w:pPr>
            <w:r/>
            <w:r>
              <w:rPr>
                <w:sz w:val="19"/>
              </w:rPr>
              <w:t>New and Uncommitted</w:t>
            </w:r>
          </w:p>
        </w:tc>
        <w:tc>
          <w:tcPr>
            <w:tcW w:type="dxa" w:w="3096"/>
          </w:tcPr>
          <w:p>
            <w:pPr>
              <w:keepNext/>
              <w:spacing w:after="40" w:before="40"/>
            </w:pPr>
            <w:r/>
            <w:r>
              <w:rPr>
                <w:sz w:val="19"/>
              </w:rPr>
              <w:t>Month-to-month contract, 12 months or less with the company</w:t>
            </w:r>
          </w:p>
        </w:tc>
        <w:tc>
          <w:tcPr>
            <w:tcW w:type="dxa" w:w="1368"/>
          </w:tcPr>
          <w:p>
            <w:pPr>
              <w:keepNext/>
              <w:spacing w:after="40" w:before="40"/>
              <w:jc w:val="right"/>
            </w:pPr>
            <w:r/>
            <w:r>
              <w:rPr>
                <w:sz w:val="19"/>
              </w:rPr>
              <w:t>1,994</w:t>
            </w:r>
          </w:p>
        </w:tc>
        <w:tc>
          <w:tcPr>
            <w:tcW w:type="dxa" w:w="864"/>
          </w:tcPr>
          <w:p>
            <w:pPr>
              <w:keepNext/>
              <w:spacing w:after="40" w:before="40"/>
              <w:jc w:val="right"/>
            </w:pPr>
            <w:r/>
            <w:r>
              <w:rPr>
                <w:sz w:val="19"/>
              </w:rPr>
              <w:t>51.3%</w:t>
            </w:r>
          </w:p>
        </w:tc>
        <w:tc>
          <w:tcPr>
            <w:tcW w:type="dxa" w:w="1008"/>
          </w:tcPr>
          <w:p>
            <w:pPr>
              <w:keepNext/>
              <w:spacing w:after="40" w:before="40"/>
              <w:jc w:val="right"/>
            </w:pPr>
            <w:r/>
            <w:r>
              <w:rPr>
                <w:sz w:val="19"/>
              </w:rPr>
              <w:t>$58</w:t>
            </w:r>
          </w:p>
        </w:tc>
        <w:tc>
          <w:tcPr>
            <w:tcW w:type="dxa" w:w="1080"/>
          </w:tcPr>
          <w:p>
            <w:pPr>
              <w:keepNext/>
              <w:spacing w:after="40" w:before="40"/>
              <w:jc w:val="right"/>
            </w:pPr>
            <w:r/>
            <w:r>
              <w:rPr>
                <w:sz w:val="19"/>
              </w:rPr>
              <w:t>54.8%</w:t>
            </w:r>
          </w:p>
        </w:tc>
      </w:tr>
      <w:tr>
        <w:tc>
          <w:tcPr>
            <w:tcW w:type="dxa" w:w="1872"/>
            <w:shd w:val="clear" w:color="auto" w:fill="F3F5FA"/>
          </w:tcPr>
          <w:p>
            <w:pPr>
              <w:keepNext/>
              <w:spacing w:after="40" w:before="40"/>
            </w:pPr>
            <w:r/>
            <w:r>
              <w:rPr>
                <w:sz w:val="19"/>
              </w:rPr>
              <w:t>Fibre Flight Risks</w:t>
            </w:r>
          </w:p>
        </w:tc>
        <w:tc>
          <w:tcPr>
            <w:tcW w:type="dxa" w:w="3096"/>
            <w:shd w:val="clear" w:color="auto" w:fill="F3F5FA"/>
          </w:tcPr>
          <w:p>
            <w:pPr>
              <w:keepNext/>
              <w:spacing w:after="40" w:before="40"/>
            </w:pPr>
            <w:r/>
            <w:r>
              <w:rPr>
                <w:sz w:val="19"/>
              </w:rPr>
              <w:t>Month-to-month contract, over 12 months tenure, fibre optic internet</w:t>
            </w:r>
          </w:p>
        </w:tc>
        <w:tc>
          <w:tcPr>
            <w:tcW w:type="dxa" w:w="1368"/>
            <w:shd w:val="clear" w:color="auto" w:fill="F3F5FA"/>
          </w:tcPr>
          <w:p>
            <w:pPr>
              <w:keepNext/>
              <w:spacing w:after="40" w:before="40"/>
              <w:jc w:val="right"/>
            </w:pPr>
            <w:r/>
            <w:r>
              <w:rPr>
                <w:sz w:val="19"/>
              </w:rPr>
              <w:t>1,212</w:t>
            </w:r>
          </w:p>
        </w:tc>
        <w:tc>
          <w:tcPr>
            <w:tcW w:type="dxa" w:w="864"/>
            <w:shd w:val="clear" w:color="auto" w:fill="F3F5FA"/>
          </w:tcPr>
          <w:p>
            <w:pPr>
              <w:keepNext/>
              <w:spacing w:after="40" w:before="40"/>
              <w:jc w:val="right"/>
            </w:pPr>
            <w:r/>
            <w:r>
              <w:rPr>
                <w:sz w:val="19"/>
              </w:rPr>
              <w:t>42.8%</w:t>
            </w:r>
          </w:p>
        </w:tc>
        <w:tc>
          <w:tcPr>
            <w:tcW w:type="dxa" w:w="1008"/>
            <w:shd w:val="clear" w:color="auto" w:fill="F3F5FA"/>
          </w:tcPr>
          <w:p>
            <w:pPr>
              <w:keepNext/>
              <w:spacing w:after="40" w:before="40"/>
              <w:jc w:val="right"/>
            </w:pPr>
            <w:r/>
            <w:r>
              <w:rPr>
                <w:sz w:val="19"/>
              </w:rPr>
              <w:t>$91</w:t>
            </w:r>
          </w:p>
        </w:tc>
        <w:tc>
          <w:tcPr>
            <w:tcW w:type="dxa" w:w="1080"/>
            <w:shd w:val="clear" w:color="auto" w:fill="F3F5FA"/>
          </w:tcPr>
          <w:p>
            <w:pPr>
              <w:keepNext/>
              <w:spacing w:after="40" w:before="40"/>
              <w:jc w:val="right"/>
            </w:pPr>
            <w:r/>
            <w:r>
              <w:rPr>
                <w:sz w:val="19"/>
              </w:rPr>
              <w:t>27.8%</w:t>
            </w:r>
          </w:p>
        </w:tc>
      </w:tr>
      <w:tr>
        <w:tc>
          <w:tcPr>
            <w:tcW w:type="dxa" w:w="1872"/>
          </w:tcPr>
          <w:p>
            <w:pPr>
              <w:keepNext/>
              <w:spacing w:after="40" w:before="40"/>
            </w:pPr>
            <w:r/>
            <w:r>
              <w:rPr>
                <w:sz w:val="19"/>
              </w:rPr>
              <w:t>Settled Month-to-Month</w:t>
            </w:r>
          </w:p>
        </w:tc>
        <w:tc>
          <w:tcPr>
            <w:tcW w:type="dxa" w:w="3096"/>
          </w:tcPr>
          <w:p>
            <w:pPr>
              <w:keepNext/>
              <w:spacing w:after="40" w:before="40"/>
            </w:pPr>
            <w:r/>
            <w:r>
              <w:rPr>
                <w:sz w:val="19"/>
              </w:rPr>
              <w:t>Month-to-month contract, over 12 months tenure, DSL or no internet</w:t>
            </w:r>
          </w:p>
        </w:tc>
        <w:tc>
          <w:tcPr>
            <w:tcW w:type="dxa" w:w="1368"/>
          </w:tcPr>
          <w:p>
            <w:pPr>
              <w:keepNext/>
              <w:spacing w:after="40" w:before="40"/>
              <w:jc w:val="right"/>
            </w:pPr>
            <w:r/>
            <w:r>
              <w:rPr>
                <w:sz w:val="19"/>
              </w:rPr>
              <w:t>669</w:t>
            </w:r>
          </w:p>
        </w:tc>
        <w:tc>
          <w:tcPr>
            <w:tcW w:type="dxa" w:w="864"/>
          </w:tcPr>
          <w:p>
            <w:pPr>
              <w:keepNext/>
              <w:spacing w:after="40" w:before="40"/>
              <w:jc w:val="right"/>
            </w:pPr>
            <w:r/>
            <w:r>
              <w:rPr>
                <w:sz w:val="19"/>
              </w:rPr>
              <w:t>16.7%</w:t>
            </w:r>
          </w:p>
        </w:tc>
        <w:tc>
          <w:tcPr>
            <w:tcW w:type="dxa" w:w="1008"/>
          </w:tcPr>
          <w:p>
            <w:pPr>
              <w:keepNext/>
              <w:spacing w:after="40" w:before="40"/>
              <w:jc w:val="right"/>
            </w:pPr>
            <w:r/>
            <w:r>
              <w:rPr>
                <w:sz w:val="19"/>
              </w:rPr>
              <w:t>$47</w:t>
            </w:r>
          </w:p>
        </w:tc>
        <w:tc>
          <w:tcPr>
            <w:tcW w:type="dxa" w:w="1080"/>
          </w:tcPr>
          <w:p>
            <w:pPr>
              <w:keepNext/>
              <w:spacing w:after="40" w:before="40"/>
              <w:jc w:val="right"/>
            </w:pPr>
            <w:r/>
            <w:r>
              <w:rPr>
                <w:sz w:val="19"/>
              </w:rPr>
              <w:t>6.0%</w:t>
            </w:r>
          </w:p>
        </w:tc>
      </w:tr>
      <w:tr>
        <w:tc>
          <w:tcPr>
            <w:tcW w:type="dxa" w:w="1872"/>
            <w:shd w:val="clear" w:color="auto" w:fill="F3F5FA"/>
          </w:tcPr>
          <w:p>
            <w:pPr>
              <w:keepNext/>
              <w:spacing w:after="40" w:before="40"/>
            </w:pPr>
            <w:r/>
            <w:r>
              <w:rPr>
                <w:sz w:val="19"/>
              </w:rPr>
              <w:t>Loyal High-Value</w:t>
            </w:r>
          </w:p>
        </w:tc>
        <w:tc>
          <w:tcPr>
            <w:tcW w:type="dxa" w:w="3096"/>
            <w:shd w:val="clear" w:color="auto" w:fill="F3F5FA"/>
          </w:tcPr>
          <w:p>
            <w:pPr>
              <w:keepNext/>
              <w:spacing w:after="40" w:before="40"/>
            </w:pPr>
            <w:r/>
            <w:r>
              <w:rPr>
                <w:sz w:val="19"/>
              </w:rPr>
              <w:t>One or two year contract, paying $70 or more per month</w:t>
            </w:r>
          </w:p>
        </w:tc>
        <w:tc>
          <w:tcPr>
            <w:tcW w:type="dxa" w:w="1368"/>
            <w:shd w:val="clear" w:color="auto" w:fill="F3F5FA"/>
          </w:tcPr>
          <w:p>
            <w:pPr>
              <w:keepNext/>
              <w:spacing w:after="40" w:before="40"/>
              <w:jc w:val="right"/>
            </w:pPr>
            <w:r/>
            <w:r>
              <w:rPr>
                <w:sz w:val="19"/>
              </w:rPr>
              <w:t>1,487</w:t>
            </w:r>
          </w:p>
        </w:tc>
        <w:tc>
          <w:tcPr>
            <w:tcW w:type="dxa" w:w="864"/>
            <w:shd w:val="clear" w:color="auto" w:fill="F3F5FA"/>
          </w:tcPr>
          <w:p>
            <w:pPr>
              <w:keepNext/>
              <w:spacing w:after="40" w:before="40"/>
              <w:jc w:val="right"/>
            </w:pPr>
            <w:r/>
            <w:r>
              <w:rPr>
                <w:sz w:val="19"/>
              </w:rPr>
              <w:t>11.0%</w:t>
            </w:r>
          </w:p>
        </w:tc>
        <w:tc>
          <w:tcPr>
            <w:tcW w:type="dxa" w:w="1008"/>
            <w:shd w:val="clear" w:color="auto" w:fill="F3F5FA"/>
          </w:tcPr>
          <w:p>
            <w:pPr>
              <w:keepNext/>
              <w:spacing w:after="40" w:before="40"/>
              <w:jc w:val="right"/>
            </w:pPr>
            <w:r/>
            <w:r>
              <w:rPr>
                <w:sz w:val="19"/>
              </w:rPr>
              <w:t>$94</w:t>
            </w:r>
          </w:p>
        </w:tc>
        <w:tc>
          <w:tcPr>
            <w:tcW w:type="dxa" w:w="1080"/>
            <w:shd w:val="clear" w:color="auto" w:fill="F3F5FA"/>
          </w:tcPr>
          <w:p>
            <w:pPr>
              <w:keepNext/>
              <w:spacing w:after="40" w:before="40"/>
              <w:jc w:val="right"/>
            </w:pPr>
            <w:r/>
            <w:r>
              <w:rPr>
                <w:sz w:val="19"/>
              </w:rPr>
              <w:t>8.7%</w:t>
            </w:r>
          </w:p>
        </w:tc>
      </w:tr>
      <w:tr>
        <w:tc>
          <w:tcPr>
            <w:tcW w:type="dxa" w:w="1872"/>
          </w:tcPr>
          <w:p>
            <w:pPr>
              <w:keepNext w:val="0"/>
              <w:spacing w:after="40" w:before="40"/>
            </w:pPr>
            <w:r/>
            <w:r>
              <w:rPr>
                <w:sz w:val="19"/>
              </w:rPr>
              <w:t>Committed Essentials</w:t>
            </w:r>
          </w:p>
        </w:tc>
        <w:tc>
          <w:tcPr>
            <w:tcW w:type="dxa" w:w="3096"/>
          </w:tcPr>
          <w:p>
            <w:pPr>
              <w:keepNext w:val="0"/>
              <w:spacing w:after="40" w:before="40"/>
            </w:pPr>
            <w:r/>
            <w:r>
              <w:rPr>
                <w:sz w:val="19"/>
              </w:rPr>
              <w:t>One or two year contract, paying under $70 per month</w:t>
            </w:r>
          </w:p>
        </w:tc>
        <w:tc>
          <w:tcPr>
            <w:tcW w:type="dxa" w:w="1368"/>
          </w:tcPr>
          <w:p>
            <w:pPr>
              <w:keepNext w:val="0"/>
              <w:spacing w:after="40" w:before="40"/>
              <w:jc w:val="right"/>
            </w:pPr>
            <w:r/>
            <w:r>
              <w:rPr>
                <w:sz w:val="19"/>
              </w:rPr>
              <w:t>1,681</w:t>
            </w:r>
          </w:p>
        </w:tc>
        <w:tc>
          <w:tcPr>
            <w:tcW w:type="dxa" w:w="864"/>
          </w:tcPr>
          <w:p>
            <w:pPr>
              <w:keepNext w:val="0"/>
              <w:spacing w:after="40" w:before="40"/>
              <w:jc w:val="right"/>
            </w:pPr>
            <w:r/>
            <w:r>
              <w:rPr>
                <w:sz w:val="19"/>
              </w:rPr>
              <w:t>3.0%</w:t>
            </w:r>
          </w:p>
        </w:tc>
        <w:tc>
          <w:tcPr>
            <w:tcW w:type="dxa" w:w="1008"/>
          </w:tcPr>
          <w:p>
            <w:pPr>
              <w:keepNext w:val="0"/>
              <w:spacing w:after="40" w:before="40"/>
              <w:jc w:val="right"/>
            </w:pPr>
            <w:r/>
            <w:r>
              <w:rPr>
                <w:sz w:val="19"/>
              </w:rPr>
              <w:t>$35</w:t>
            </w:r>
          </w:p>
        </w:tc>
        <w:tc>
          <w:tcPr>
            <w:tcW w:type="dxa" w:w="1080"/>
          </w:tcPr>
          <w:p>
            <w:pPr>
              <w:keepNext w:val="0"/>
              <w:spacing w:after="40" w:before="40"/>
              <w:jc w:val="right"/>
            </w:pPr>
            <w:r/>
            <w:r>
              <w:rPr>
                <w:sz w:val="19"/>
              </w:rPr>
              <w:t>2.7%</w:t>
            </w:r>
          </w:p>
        </w:tc>
      </w:tr>
    </w:tbl>
    <w:p>
      <w:pPr>
        <w:spacing w:after="40"/>
      </w:pPr>
    </w:p>
    <w:p>
      <w:pPr>
        <w:pStyle w:val="Heading2"/>
      </w:pPr>
      <w:r>
        <w:t>How to read the segments</w:t>
      </w:r>
    </w:p>
    <w:p>
      <w:pPr>
        <w:pStyle w:val="ListBullet"/>
      </w:pPr>
      <w:r>
        <w:rPr>
          <w:b/>
        </w:rPr>
        <w:t xml:space="preserve">Highest risk: New and Uncommitted. </w:t>
      </w:r>
      <w:r>
        <w:rPr>
          <w:b w:val="0"/>
        </w:rPr>
        <w:t>More than half leave (51.3%), and they make up 55% of all leavers.</w:t>
      </w:r>
    </w:p>
    <w:p>
      <w:pPr>
        <w:pStyle w:val="ListBullet"/>
      </w:pPr>
      <w:r>
        <w:rPr>
          <w:b/>
        </w:rPr>
        <w:t xml:space="preserve">Costliest to lose: Fibre Flight Risks. </w:t>
      </w:r>
      <w:r>
        <w:rPr>
          <w:b w:val="0"/>
        </w:rPr>
        <w:t>Established customers paying $91 a month, churning at 42.8%.</w:t>
      </w:r>
    </w:p>
    <w:p>
      <w:pPr>
        <w:pStyle w:val="ListBullet"/>
      </w:pPr>
      <w:r>
        <w:rPr>
          <w:b/>
        </w:rPr>
        <w:t xml:space="preserve">Most valuable to protect: Loyal High-Value. </w:t>
      </w:r>
      <w:r>
        <w:rPr>
          <w:b w:val="0"/>
        </w:rPr>
        <w:t>They pay $94 a month and have paid $5,439 each to date. Churn is low at 11.0%, so the aim is to keep it there.</w:t>
      </w:r>
    </w:p>
    <w:p>
      <w:pPr>
        <w:pStyle w:val="ListBullet"/>
      </w:pPr>
      <w:r>
        <w:rPr>
          <w:b/>
        </w:rPr>
        <w:t xml:space="preserve">Where to focus: </w:t>
      </w:r>
      <w:r>
        <w:rPr>
          <w:b w:val="0"/>
        </w:rPr>
        <w:t>the first two segments are 46% of customers but 83% of leavers.</w:t>
      </w:r>
    </w:p>
    <w:p>
      <w:pPr>
        <w:keepNext/>
        <w:jc w:val="center"/>
      </w:pPr>
      <w:r>
        <w:drawing>
          <wp:inline xmlns:a="http://schemas.openxmlformats.org/drawingml/2006/main" xmlns:pic="http://schemas.openxmlformats.org/drawingml/2006/picture">
            <wp:extent cx="3657600" cy="3657600"/>
            <wp:docPr id="7" name="Picture 7"/>
            <wp:cNvGraphicFramePr>
              <a:graphicFrameLocks noChangeAspect="1"/>
            </wp:cNvGraphicFramePr>
            <a:graphic>
              <a:graphicData uri="http://schemas.openxmlformats.org/drawingml/2006/picture">
                <pic:pic>
                  <pic:nvPicPr>
                    <pic:cNvPr id="0" name="06-customer-segments.png"/>
                    <pic:cNvPicPr/>
                  </pic:nvPicPr>
                  <pic:blipFill>
                    <a:blip r:embed="rId16"/>
                    <a:stretch>
                      <a:fillRect/>
                    </a:stretch>
                  </pic:blipFill>
                  <pic:spPr>
                    <a:xfrm>
                      <a:off x="0" y="0"/>
                      <a:ext cx="3657600" cy="3657600"/>
                    </a:xfrm>
                    <a:prstGeom prst="rect"/>
                  </pic:spPr>
                </pic:pic>
              </a:graphicData>
            </a:graphic>
          </wp:inline>
        </w:drawing>
      </w:r>
    </w:p>
    <w:p>
      <w:pPr>
        <w:spacing w:after="200"/>
        <w:jc w:val="center"/>
      </w:pPr>
      <w:r>
        <w:rPr>
          <w:b w:val="0"/>
          <w:i/>
          <w:color w:val="6B7588"/>
          <w:sz w:val="18"/>
        </w:rPr>
        <w:t>Figure 6. Churn rate by customer segment</w:t>
      </w:r>
    </w:p>
    <w:p>
      <w:pPr>
        <w:pStyle w:val="Heading1"/>
        <w:pageBreakBefore/>
      </w:pPr>
      <w:r>
        <w:t>5. Churn Prediction Model</w:t>
      </w:r>
    </w:p>
    <w:p>
      <w:r>
        <w:rPr>
          <w:b w:val="0"/>
          <w:i w:val="0"/>
        </w:rPr>
        <w:t>Three models were trained to score each customer's risk of leaving, then tested on 1,409 customers the models had never seen (374 of whom left). Leavers are the smaller group, so the classes were balanced during training to stop the models ignoring them.</w:t>
      </w:r>
    </w:p>
    <w:tbl>
      <w:tblPr>
        <w:tblStyle w:val="TableGrid"/>
        <w:tblW w:type="auto" w:w="0"/>
        <w:jc w:val="center"/>
        <w:tblLayout w:type="fixed"/>
        <w:tblLook w:firstColumn="1" w:firstRow="1" w:lastColumn="0" w:lastRow="0" w:noHBand="0" w:noVBand="1" w:val="04A0"/>
      </w:tblPr>
      <w:tblGrid>
        <w:gridCol w:w="4320"/>
        <w:gridCol w:w="1224"/>
        <w:gridCol w:w="1224"/>
        <w:gridCol w:w="1224"/>
        <w:gridCol w:w="1224"/>
      </w:tblGrid>
      <w:tr>
        <w:tc>
          <w:tcPr>
            <w:tcW w:type="dxa" w:w="4320"/>
            <w:shd w:val="clear" w:color="auto" w:fill="14213D"/>
          </w:tcPr>
          <w:p>
            <w:pPr>
              <w:keepNext/>
              <w:spacing w:after="40" w:before="40"/>
            </w:pPr>
            <w:r/>
            <w:r>
              <w:rPr>
                <w:b/>
                <w:color w:val="FFFFFF"/>
                <w:sz w:val="19"/>
              </w:rPr>
              <w:t>Model</w:t>
            </w:r>
          </w:p>
        </w:tc>
        <w:tc>
          <w:tcPr>
            <w:tcW w:type="dxa" w:w="1224"/>
            <w:shd w:val="clear" w:color="auto" w:fill="14213D"/>
          </w:tcPr>
          <w:p>
            <w:pPr>
              <w:keepNext/>
              <w:spacing w:after="40" w:before="40"/>
            </w:pPr>
            <w:r/>
            <w:r>
              <w:rPr>
                <w:b/>
                <w:color w:val="FFFFFF"/>
                <w:sz w:val="19"/>
              </w:rPr>
              <w:t>Precision</w:t>
            </w:r>
          </w:p>
        </w:tc>
        <w:tc>
          <w:tcPr>
            <w:tcW w:type="dxa" w:w="1224"/>
            <w:shd w:val="clear" w:color="auto" w:fill="14213D"/>
          </w:tcPr>
          <w:p>
            <w:pPr>
              <w:keepNext/>
              <w:spacing w:after="40" w:before="40"/>
            </w:pPr>
            <w:r/>
            <w:r>
              <w:rPr>
                <w:b/>
                <w:color w:val="FFFFFF"/>
                <w:sz w:val="19"/>
              </w:rPr>
              <w:t>Recall</w:t>
            </w:r>
          </w:p>
        </w:tc>
        <w:tc>
          <w:tcPr>
            <w:tcW w:type="dxa" w:w="1224"/>
            <w:shd w:val="clear" w:color="auto" w:fill="14213D"/>
          </w:tcPr>
          <w:p>
            <w:pPr>
              <w:keepNext/>
              <w:spacing w:after="40" w:before="40"/>
            </w:pPr>
            <w:r/>
            <w:r>
              <w:rPr>
                <w:b/>
                <w:color w:val="FFFFFF"/>
                <w:sz w:val="19"/>
              </w:rPr>
              <w:t>F1</w:t>
            </w:r>
          </w:p>
        </w:tc>
        <w:tc>
          <w:tcPr>
            <w:tcW w:type="dxa" w:w="1224"/>
            <w:shd w:val="clear" w:color="auto" w:fill="14213D"/>
          </w:tcPr>
          <w:p>
            <w:pPr>
              <w:keepNext/>
              <w:spacing w:after="40" w:before="40"/>
            </w:pPr>
            <w:r/>
            <w:r>
              <w:rPr>
                <w:b/>
                <w:color w:val="FFFFFF"/>
                <w:sz w:val="19"/>
              </w:rPr>
              <w:t>ROC-AUC</w:t>
            </w:r>
          </w:p>
        </w:tc>
      </w:tr>
      <w:tr>
        <w:tc>
          <w:tcPr>
            <w:tcW w:type="dxa" w:w="4320"/>
          </w:tcPr>
          <w:p>
            <w:pPr>
              <w:keepNext/>
              <w:spacing w:after="40" w:before="40"/>
            </w:pPr>
            <w:r/>
            <w:r>
              <w:rPr>
                <w:sz w:val="19"/>
              </w:rPr>
              <w:t>Logistic Regression</w:t>
            </w:r>
          </w:p>
        </w:tc>
        <w:tc>
          <w:tcPr>
            <w:tcW w:type="dxa" w:w="1224"/>
          </w:tcPr>
          <w:p>
            <w:pPr>
              <w:keepNext/>
              <w:spacing w:after="40" w:before="40"/>
              <w:jc w:val="right"/>
            </w:pPr>
            <w:r/>
            <w:r>
              <w:rPr>
                <w:sz w:val="19"/>
              </w:rPr>
              <w:t>0.50</w:t>
            </w:r>
          </w:p>
        </w:tc>
        <w:tc>
          <w:tcPr>
            <w:tcW w:type="dxa" w:w="1224"/>
          </w:tcPr>
          <w:p>
            <w:pPr>
              <w:keepNext/>
              <w:spacing w:after="40" w:before="40"/>
              <w:jc w:val="right"/>
            </w:pPr>
            <w:r/>
            <w:r>
              <w:rPr>
                <w:sz w:val="19"/>
              </w:rPr>
              <w:t>0.78</w:t>
            </w:r>
          </w:p>
        </w:tc>
        <w:tc>
          <w:tcPr>
            <w:tcW w:type="dxa" w:w="1224"/>
          </w:tcPr>
          <w:p>
            <w:pPr>
              <w:keepNext/>
              <w:spacing w:after="40" w:before="40"/>
              <w:jc w:val="right"/>
            </w:pPr>
            <w:r/>
            <w:r>
              <w:rPr>
                <w:sz w:val="19"/>
              </w:rPr>
              <w:t>0.61</w:t>
            </w:r>
          </w:p>
        </w:tc>
        <w:tc>
          <w:tcPr>
            <w:tcW w:type="dxa" w:w="1224"/>
          </w:tcPr>
          <w:p>
            <w:pPr>
              <w:keepNext/>
              <w:spacing w:after="40" w:before="40"/>
              <w:jc w:val="right"/>
            </w:pPr>
            <w:r/>
            <w:r>
              <w:rPr>
                <w:sz w:val="19"/>
              </w:rPr>
              <w:t>0.842</w:t>
            </w:r>
          </w:p>
        </w:tc>
      </w:tr>
      <w:tr>
        <w:tc>
          <w:tcPr>
            <w:tcW w:type="dxa" w:w="4320"/>
            <w:shd w:val="clear" w:color="auto" w:fill="F3F5FA"/>
          </w:tcPr>
          <w:p>
            <w:pPr>
              <w:keepNext/>
              <w:spacing w:after="40" w:before="40"/>
            </w:pPr>
            <w:r/>
            <w:r>
              <w:rPr>
                <w:sz w:val="19"/>
              </w:rPr>
              <w:t>Random Forest</w:t>
            </w:r>
          </w:p>
        </w:tc>
        <w:tc>
          <w:tcPr>
            <w:tcW w:type="dxa" w:w="1224"/>
            <w:shd w:val="clear" w:color="auto" w:fill="F3F5FA"/>
          </w:tcPr>
          <w:p>
            <w:pPr>
              <w:keepNext/>
              <w:spacing w:after="40" w:before="40"/>
              <w:jc w:val="right"/>
            </w:pPr>
            <w:r/>
            <w:r>
              <w:rPr>
                <w:sz w:val="19"/>
              </w:rPr>
              <w:t>0.55</w:t>
            </w:r>
          </w:p>
        </w:tc>
        <w:tc>
          <w:tcPr>
            <w:tcW w:type="dxa" w:w="1224"/>
            <w:shd w:val="clear" w:color="auto" w:fill="F3F5FA"/>
          </w:tcPr>
          <w:p>
            <w:pPr>
              <w:keepNext/>
              <w:spacing w:after="40" w:before="40"/>
              <w:jc w:val="right"/>
            </w:pPr>
            <w:r/>
            <w:r>
              <w:rPr>
                <w:sz w:val="19"/>
              </w:rPr>
              <w:t>0.77</w:t>
            </w:r>
          </w:p>
        </w:tc>
        <w:tc>
          <w:tcPr>
            <w:tcW w:type="dxa" w:w="1224"/>
            <w:shd w:val="clear" w:color="auto" w:fill="F3F5FA"/>
          </w:tcPr>
          <w:p>
            <w:pPr>
              <w:keepNext/>
              <w:spacing w:after="40" w:before="40"/>
              <w:jc w:val="right"/>
            </w:pPr>
            <w:r/>
            <w:r>
              <w:rPr>
                <w:sz w:val="19"/>
              </w:rPr>
              <w:t>0.64</w:t>
            </w:r>
          </w:p>
        </w:tc>
        <w:tc>
          <w:tcPr>
            <w:tcW w:type="dxa" w:w="1224"/>
            <w:shd w:val="clear" w:color="auto" w:fill="F3F5FA"/>
          </w:tcPr>
          <w:p>
            <w:pPr>
              <w:keepNext/>
              <w:spacing w:after="40" w:before="40"/>
              <w:jc w:val="right"/>
            </w:pPr>
            <w:r/>
            <w:r>
              <w:rPr>
                <w:sz w:val="19"/>
              </w:rPr>
              <w:t>0.843</w:t>
            </w:r>
          </w:p>
        </w:tc>
      </w:tr>
      <w:tr>
        <w:tc>
          <w:tcPr>
            <w:tcW w:type="dxa" w:w="4320"/>
          </w:tcPr>
          <w:p>
            <w:pPr>
              <w:keepNext w:val="0"/>
              <w:spacing w:after="40" w:before="40"/>
            </w:pPr>
            <w:r/>
            <w:r>
              <w:rPr>
                <w:sz w:val="19"/>
              </w:rPr>
              <w:t>Gradient Boosting (used for risk scores)</w:t>
            </w:r>
          </w:p>
        </w:tc>
        <w:tc>
          <w:tcPr>
            <w:tcW w:type="dxa" w:w="1224"/>
          </w:tcPr>
          <w:p>
            <w:pPr>
              <w:keepNext w:val="0"/>
              <w:spacing w:after="40" w:before="40"/>
              <w:jc w:val="right"/>
            </w:pPr>
            <w:r/>
            <w:r>
              <w:rPr>
                <w:sz w:val="19"/>
              </w:rPr>
              <w:t>0.52</w:t>
            </w:r>
          </w:p>
        </w:tc>
        <w:tc>
          <w:tcPr>
            <w:tcW w:type="dxa" w:w="1224"/>
          </w:tcPr>
          <w:p>
            <w:pPr>
              <w:keepNext w:val="0"/>
              <w:spacing w:after="40" w:before="40"/>
              <w:jc w:val="right"/>
            </w:pPr>
            <w:r/>
            <w:r>
              <w:rPr>
                <w:sz w:val="19"/>
              </w:rPr>
              <w:t>0.78</w:t>
            </w:r>
          </w:p>
        </w:tc>
        <w:tc>
          <w:tcPr>
            <w:tcW w:type="dxa" w:w="1224"/>
          </w:tcPr>
          <w:p>
            <w:pPr>
              <w:keepNext w:val="0"/>
              <w:spacing w:after="40" w:before="40"/>
              <w:jc w:val="right"/>
            </w:pPr>
            <w:r/>
            <w:r>
              <w:rPr>
                <w:sz w:val="19"/>
              </w:rPr>
              <w:t>0.62</w:t>
            </w:r>
          </w:p>
        </w:tc>
        <w:tc>
          <w:tcPr>
            <w:tcW w:type="dxa" w:w="1224"/>
          </w:tcPr>
          <w:p>
            <w:pPr>
              <w:keepNext w:val="0"/>
              <w:spacing w:after="40" w:before="40"/>
              <w:jc w:val="right"/>
            </w:pPr>
            <w:r/>
            <w:r>
              <w:rPr>
                <w:sz w:val="19"/>
              </w:rPr>
              <w:t>0.844</w:t>
            </w:r>
          </w:p>
        </w:tc>
      </w:tr>
    </w:tbl>
    <w:p>
      <w:pPr>
        <w:spacing w:after="40"/>
      </w:pPr>
    </w:p>
    <w:p>
      <w:pPr>
        <w:pStyle w:val="Heading2"/>
      </w:pPr>
      <w:r>
        <w:t>What the measures mean</w:t>
      </w:r>
    </w:p>
    <w:p>
      <w:pPr>
        <w:pStyle w:val="ListBullet"/>
      </w:pPr>
      <w:r>
        <w:rPr>
          <w:b/>
        </w:rPr>
        <w:t xml:space="preserve">Recall of 78%: </w:t>
      </w:r>
      <w:r>
        <w:rPr>
          <w:b w:val="0"/>
        </w:rPr>
        <w:t>of every 100 customers who really left, the model flagged 78 beforehand.</w:t>
      </w:r>
    </w:p>
    <w:p>
      <w:pPr>
        <w:pStyle w:val="ListBullet"/>
      </w:pPr>
      <w:r>
        <w:rPr>
          <w:b/>
        </w:rPr>
        <w:t xml:space="preserve">Precision of 52%: </w:t>
      </w:r>
      <w:r>
        <w:rPr>
          <w:b w:val="0"/>
        </w:rPr>
        <w:t>of every 100 customers it flagged, 52 really left. The rest received attention they may not have needed, a small cost compared with losing a customer.</w:t>
      </w:r>
    </w:p>
    <w:p>
      <w:pPr>
        <w:pStyle w:val="ListBullet"/>
      </w:pPr>
      <w:r>
        <w:rPr>
          <w:b/>
        </w:rPr>
        <w:t xml:space="preserve">F1 of 0.62: </w:t>
      </w:r>
      <w:r>
        <w:rPr>
          <w:b w:val="0"/>
        </w:rPr>
        <w:t>a single score that balances precision and recall.</w:t>
      </w:r>
    </w:p>
    <w:p>
      <w:pPr>
        <w:pStyle w:val="ListBullet"/>
      </w:pPr>
      <w:r>
        <w:rPr>
          <w:b/>
        </w:rPr>
        <w:t xml:space="preserve">ROC-AUC of 0.84: </w:t>
      </w:r>
      <w:r>
        <w:rPr>
          <w:b w:val="0"/>
        </w:rPr>
        <w:t>pick one leaver and one stayer at random, and the model ranks the leaver as riskier 84 times out of 100.</w:t>
      </w:r>
    </w:p>
    <w:p>
      <w:r>
        <w:rPr>
          <w:b w:val="0"/>
          <w:i w:val="0"/>
        </w:rPr>
        <w:t>All three models performed almost identically, so the result does not depend on one technique. Gradient Boosting was used for risk scores because it had the highest cross-validated ROC-AUC (0.847), by a small margin. Without balancing the classes, recall fell from 78% to 56%, which would mean missing nearly half the leavers.</w:t>
      </w:r>
    </w:p>
    <w:p>
      <w:pPr>
        <w:pStyle w:val="Heading2"/>
      </w:pPr>
      <w:r>
        <w:t>Risk bands</w:t>
      </w:r>
    </w:p>
    <w:p>
      <w:r>
        <w:rPr>
          <w:b w:val="0"/>
          <w:i w:val="0"/>
        </w:rPr>
        <w:t>Each customer receives a risk score from 0 to 100. The bands below show how well the score matched what actually happened.</w:t>
      </w:r>
    </w:p>
    <w:tbl>
      <w:tblPr>
        <w:tblStyle w:val="TableGrid"/>
        <w:tblW w:type="auto" w:w="0"/>
        <w:jc w:val="center"/>
        <w:tblLayout w:type="fixed"/>
        <w:tblLook w:firstColumn="1" w:firstRow="1" w:lastColumn="0" w:lastRow="0" w:noHBand="0" w:noVBand="1" w:val="04A0"/>
      </w:tblPr>
      <w:tblGrid>
        <w:gridCol w:w="2304"/>
        <w:gridCol w:w="2304"/>
        <w:gridCol w:w="2304"/>
        <w:gridCol w:w="2304"/>
      </w:tblGrid>
      <w:tr>
        <w:tc>
          <w:tcPr>
            <w:tcW w:type="dxa" w:w="2304"/>
            <w:shd w:val="clear" w:color="auto" w:fill="14213D"/>
          </w:tcPr>
          <w:p>
            <w:pPr>
              <w:keepNext/>
              <w:spacing w:after="40" w:before="40"/>
            </w:pPr>
            <w:r/>
            <w:r>
              <w:rPr>
                <w:b/>
                <w:color w:val="FFFFFF"/>
                <w:sz w:val="19"/>
              </w:rPr>
              <w:t>Risk band</w:t>
            </w:r>
          </w:p>
        </w:tc>
        <w:tc>
          <w:tcPr>
            <w:tcW w:type="dxa" w:w="2304"/>
            <w:shd w:val="clear" w:color="auto" w:fill="14213D"/>
          </w:tcPr>
          <w:p>
            <w:pPr>
              <w:keepNext/>
              <w:spacing w:after="40" w:before="40"/>
            </w:pPr>
            <w:r/>
            <w:r>
              <w:rPr>
                <w:b/>
                <w:color w:val="FFFFFF"/>
                <w:sz w:val="19"/>
              </w:rPr>
              <w:t>Score range</w:t>
            </w:r>
          </w:p>
        </w:tc>
        <w:tc>
          <w:tcPr>
            <w:tcW w:type="dxa" w:w="2304"/>
            <w:shd w:val="clear" w:color="auto" w:fill="14213D"/>
          </w:tcPr>
          <w:p>
            <w:pPr>
              <w:keepNext/>
              <w:spacing w:after="40" w:before="40"/>
            </w:pPr>
            <w:r/>
            <w:r>
              <w:rPr>
                <w:b/>
                <w:color w:val="FFFFFF"/>
                <w:sz w:val="19"/>
              </w:rPr>
              <w:t>Customers</w:t>
            </w:r>
          </w:p>
        </w:tc>
        <w:tc>
          <w:tcPr>
            <w:tcW w:type="dxa" w:w="2304"/>
            <w:shd w:val="clear" w:color="auto" w:fill="14213D"/>
          </w:tcPr>
          <w:p>
            <w:pPr>
              <w:keepNext/>
              <w:spacing w:after="40" w:before="40"/>
            </w:pPr>
            <w:r/>
            <w:r>
              <w:rPr>
                <w:b/>
                <w:color w:val="FFFFFF"/>
                <w:sz w:val="19"/>
              </w:rPr>
              <w:t>Actual churn rate</w:t>
            </w:r>
          </w:p>
        </w:tc>
      </w:tr>
      <w:tr>
        <w:tc>
          <w:tcPr>
            <w:tcW w:type="dxa" w:w="2304"/>
          </w:tcPr>
          <w:p>
            <w:pPr>
              <w:keepNext/>
              <w:spacing w:after="40" w:before="40"/>
            </w:pPr>
            <w:r/>
            <w:r>
              <w:rPr>
                <w:sz w:val="19"/>
              </w:rPr>
              <w:t>High</w:t>
            </w:r>
          </w:p>
        </w:tc>
        <w:tc>
          <w:tcPr>
            <w:tcW w:type="dxa" w:w="2304"/>
          </w:tcPr>
          <w:p>
            <w:pPr>
              <w:keepNext/>
              <w:spacing w:after="40" w:before="40"/>
              <w:jc w:val="right"/>
            </w:pPr>
            <w:r/>
            <w:r>
              <w:rPr>
                <w:sz w:val="19"/>
              </w:rPr>
              <w:t>60 to 100</w:t>
            </w:r>
          </w:p>
        </w:tc>
        <w:tc>
          <w:tcPr>
            <w:tcW w:type="dxa" w:w="2304"/>
          </w:tcPr>
          <w:p>
            <w:pPr>
              <w:keepNext/>
              <w:spacing w:after="40" w:before="40"/>
              <w:jc w:val="right"/>
            </w:pPr>
            <w:r/>
            <w:r>
              <w:rPr>
                <w:sz w:val="19"/>
              </w:rPr>
              <w:t>2,276</w:t>
            </w:r>
          </w:p>
        </w:tc>
        <w:tc>
          <w:tcPr>
            <w:tcW w:type="dxa" w:w="2304"/>
          </w:tcPr>
          <w:p>
            <w:pPr>
              <w:keepNext/>
              <w:spacing w:after="40" w:before="40"/>
              <w:jc w:val="right"/>
            </w:pPr>
            <w:r/>
            <w:r>
              <w:rPr>
                <w:sz w:val="19"/>
              </w:rPr>
              <w:t>57.1%</w:t>
            </w:r>
          </w:p>
        </w:tc>
      </w:tr>
      <w:tr>
        <w:tc>
          <w:tcPr>
            <w:tcW w:type="dxa" w:w="2304"/>
            <w:shd w:val="clear" w:color="auto" w:fill="F3F5FA"/>
          </w:tcPr>
          <w:p>
            <w:pPr>
              <w:keepNext/>
              <w:spacing w:after="40" w:before="40"/>
            </w:pPr>
            <w:r/>
            <w:r>
              <w:rPr>
                <w:sz w:val="19"/>
              </w:rPr>
              <w:t>Medium</w:t>
            </w:r>
          </w:p>
        </w:tc>
        <w:tc>
          <w:tcPr>
            <w:tcW w:type="dxa" w:w="2304"/>
            <w:shd w:val="clear" w:color="auto" w:fill="F3F5FA"/>
          </w:tcPr>
          <w:p>
            <w:pPr>
              <w:keepNext/>
              <w:spacing w:after="40" w:before="40"/>
              <w:jc w:val="right"/>
            </w:pPr>
            <w:r/>
            <w:r>
              <w:rPr>
                <w:sz w:val="19"/>
              </w:rPr>
              <w:t>30 to 59</w:t>
            </w:r>
          </w:p>
        </w:tc>
        <w:tc>
          <w:tcPr>
            <w:tcW w:type="dxa" w:w="2304"/>
            <w:shd w:val="clear" w:color="auto" w:fill="F3F5FA"/>
          </w:tcPr>
          <w:p>
            <w:pPr>
              <w:keepNext/>
              <w:spacing w:after="40" w:before="40"/>
              <w:jc w:val="right"/>
            </w:pPr>
            <w:r/>
            <w:r>
              <w:rPr>
                <w:sz w:val="19"/>
              </w:rPr>
              <w:t>1,546</w:t>
            </w:r>
          </w:p>
        </w:tc>
        <w:tc>
          <w:tcPr>
            <w:tcW w:type="dxa" w:w="2304"/>
            <w:shd w:val="clear" w:color="auto" w:fill="F3F5FA"/>
          </w:tcPr>
          <w:p>
            <w:pPr>
              <w:keepNext/>
              <w:spacing w:after="40" w:before="40"/>
              <w:jc w:val="right"/>
            </w:pPr>
            <w:r/>
            <w:r>
              <w:rPr>
                <w:sz w:val="19"/>
              </w:rPr>
              <w:t>25.6%</w:t>
            </w:r>
          </w:p>
        </w:tc>
      </w:tr>
      <w:tr>
        <w:tc>
          <w:tcPr>
            <w:tcW w:type="dxa" w:w="2304"/>
          </w:tcPr>
          <w:p>
            <w:pPr>
              <w:keepNext w:val="0"/>
              <w:spacing w:after="40" w:before="40"/>
            </w:pPr>
            <w:r/>
            <w:r>
              <w:rPr>
                <w:sz w:val="19"/>
              </w:rPr>
              <w:t>Low</w:t>
            </w:r>
          </w:p>
        </w:tc>
        <w:tc>
          <w:tcPr>
            <w:tcW w:type="dxa" w:w="2304"/>
          </w:tcPr>
          <w:p>
            <w:pPr>
              <w:keepNext w:val="0"/>
              <w:spacing w:after="40" w:before="40"/>
              <w:jc w:val="right"/>
            </w:pPr>
            <w:r/>
            <w:r>
              <w:rPr>
                <w:sz w:val="19"/>
              </w:rPr>
              <w:t>0 to 29</w:t>
            </w:r>
          </w:p>
        </w:tc>
        <w:tc>
          <w:tcPr>
            <w:tcW w:type="dxa" w:w="2304"/>
          </w:tcPr>
          <w:p>
            <w:pPr>
              <w:keepNext w:val="0"/>
              <w:spacing w:after="40" w:before="40"/>
              <w:jc w:val="right"/>
            </w:pPr>
            <w:r/>
            <w:r>
              <w:rPr>
                <w:sz w:val="19"/>
              </w:rPr>
              <w:t>3,221</w:t>
            </w:r>
          </w:p>
        </w:tc>
        <w:tc>
          <w:tcPr>
            <w:tcW w:type="dxa" w:w="2304"/>
          </w:tcPr>
          <w:p>
            <w:pPr>
              <w:keepNext w:val="0"/>
              <w:spacing w:after="40" w:before="40"/>
              <w:jc w:val="right"/>
            </w:pPr>
            <w:r/>
            <w:r>
              <w:rPr>
                <w:sz w:val="19"/>
              </w:rPr>
              <w:t>5.4%</w:t>
            </w:r>
          </w:p>
        </w:tc>
      </w:tr>
    </w:tbl>
    <w:p>
      <w:pPr>
        <w:spacing w:after="40"/>
      </w:pPr>
    </w:p>
    <w:p>
      <w:pPr>
        <w:pStyle w:val="Heading2"/>
      </w:pPr>
      <w:r>
        <w:t>Top churn drivers</w:t>
      </w:r>
    </w:p>
    <w:p>
      <w:r>
        <w:rPr>
          <w:b w:val="0"/>
          <w:i w:val="0"/>
        </w:rPr>
        <w:t>The factors the model relies on most are contract type, tenure, total charges to date, internet service type, online security, tech support and payment method.</w:t>
      </w:r>
    </w:p>
    <w:p>
      <w:pPr>
        <w:keepNext/>
        <w:jc w:val="center"/>
      </w:pPr>
      <w:r>
        <w:drawing>
          <wp:inline xmlns:a="http://schemas.openxmlformats.org/drawingml/2006/main" xmlns:pic="http://schemas.openxmlformats.org/drawingml/2006/picture">
            <wp:extent cx="3840480" cy="3840480"/>
            <wp:docPr id="8" name="Picture 8"/>
            <wp:cNvGraphicFramePr>
              <a:graphicFrameLocks noChangeAspect="1"/>
            </wp:cNvGraphicFramePr>
            <a:graphic>
              <a:graphicData uri="http://schemas.openxmlformats.org/drawingml/2006/picture">
                <pic:pic>
                  <pic:nvPicPr>
                    <pic:cNvPr id="0" name="07-top-churn-drivers.png"/>
                    <pic:cNvPicPr/>
                  </pic:nvPicPr>
                  <pic:blipFill>
                    <a:blip r:embed="rId17"/>
                    <a:stretch>
                      <a:fillRect/>
                    </a:stretch>
                  </pic:blipFill>
                  <pic:spPr>
                    <a:xfrm>
                      <a:off x="0" y="0"/>
                      <a:ext cx="3840480" cy="3840480"/>
                    </a:xfrm>
                    <a:prstGeom prst="rect"/>
                  </pic:spPr>
                </pic:pic>
              </a:graphicData>
            </a:graphic>
          </wp:inline>
        </w:drawing>
      </w:r>
    </w:p>
    <w:p>
      <w:pPr>
        <w:spacing w:after="200"/>
        <w:jc w:val="center"/>
      </w:pPr>
      <w:r>
        <w:rPr>
          <w:b w:val="0"/>
          <w:i/>
          <w:color w:val="6B7588"/>
          <w:sz w:val="18"/>
        </w:rPr>
        <w:t>Figure 7. Top churn drivers (strongest = 100)</w:t>
      </w:r>
    </w:p>
    <w:p>
      <w:pPr>
        <w:pStyle w:val="Heading1"/>
        <w:pageBreakBefore/>
      </w:pPr>
      <w:r>
        <w:t>6. Value of Acting on the Top At-Risk Customers</w:t>
      </w:r>
    </w:p>
    <w:p>
      <w:r>
        <w:rPr>
          <w:b w:val="0"/>
          <w:i w:val="0"/>
        </w:rPr>
        <w:t>Ranking customers by risk score and contacting only the top of the list concentrates effort where it counts.</w:t>
      </w:r>
    </w:p>
    <w:tbl>
      <w:tblPr>
        <w:tblStyle w:val="TableGrid"/>
        <w:tblW w:type="auto" w:w="0"/>
        <w:jc w:val="center"/>
        <w:tblLayout w:type="fixed"/>
        <w:tblLook w:firstColumn="1" w:firstRow="1" w:lastColumn="0" w:lastRow="0" w:noHBand="0" w:noVBand="1" w:val="04A0"/>
      </w:tblPr>
      <w:tblGrid>
        <w:gridCol w:w="2304"/>
        <w:gridCol w:w="1296"/>
        <w:gridCol w:w="2016"/>
        <w:gridCol w:w="2016"/>
        <w:gridCol w:w="1584"/>
      </w:tblGrid>
      <w:tr>
        <w:tc>
          <w:tcPr>
            <w:tcW w:type="dxa" w:w="2304"/>
            <w:shd w:val="clear" w:color="auto" w:fill="14213D"/>
          </w:tcPr>
          <w:p>
            <w:pPr>
              <w:keepNext/>
              <w:spacing w:after="40" w:before="40"/>
            </w:pPr>
            <w:r/>
            <w:r>
              <w:rPr>
                <w:b/>
                <w:color w:val="FFFFFF"/>
                <w:sz w:val="19"/>
              </w:rPr>
              <w:t>Customers contacted</w:t>
            </w:r>
          </w:p>
        </w:tc>
        <w:tc>
          <w:tcPr>
            <w:tcW w:type="dxa" w:w="1296"/>
            <w:shd w:val="clear" w:color="auto" w:fill="14213D"/>
          </w:tcPr>
          <w:p>
            <w:pPr>
              <w:keepNext/>
              <w:spacing w:after="40" w:before="40"/>
            </w:pPr>
            <w:r/>
            <w:r>
              <w:rPr>
                <w:b/>
                <w:color w:val="FFFFFF"/>
                <w:sz w:val="19"/>
              </w:rPr>
              <w:t>How many</w:t>
            </w:r>
          </w:p>
        </w:tc>
        <w:tc>
          <w:tcPr>
            <w:tcW w:type="dxa" w:w="2016"/>
            <w:shd w:val="clear" w:color="auto" w:fill="14213D"/>
          </w:tcPr>
          <w:p>
            <w:pPr>
              <w:keepNext/>
              <w:spacing w:after="40" w:before="40"/>
            </w:pPr>
            <w:r/>
            <w:r>
              <w:rPr>
                <w:b/>
                <w:color w:val="FFFFFF"/>
                <w:sz w:val="19"/>
              </w:rPr>
              <w:t>Actual leavers among them</w:t>
            </w:r>
          </w:p>
        </w:tc>
        <w:tc>
          <w:tcPr>
            <w:tcW w:type="dxa" w:w="2016"/>
            <w:shd w:val="clear" w:color="auto" w:fill="14213D"/>
          </w:tcPr>
          <w:p>
            <w:pPr>
              <w:keepNext/>
              <w:spacing w:after="40" w:before="40"/>
            </w:pPr>
            <w:r/>
            <w:r>
              <w:rPr>
                <w:b/>
                <w:color w:val="FFFFFF"/>
                <w:sz w:val="19"/>
              </w:rPr>
              <w:t>Share of all leavers reached</w:t>
            </w:r>
          </w:p>
        </w:tc>
        <w:tc>
          <w:tcPr>
            <w:tcW w:type="dxa" w:w="1584"/>
            <w:shd w:val="clear" w:color="auto" w:fill="14213D"/>
          </w:tcPr>
          <w:p>
            <w:pPr>
              <w:keepNext/>
              <w:spacing w:after="40" w:before="40"/>
            </w:pPr>
            <w:r/>
            <w:r>
              <w:rPr>
                <w:b/>
                <w:color w:val="FFFFFF"/>
                <w:sz w:val="19"/>
              </w:rPr>
              <w:t>Better than random</w:t>
            </w:r>
          </w:p>
        </w:tc>
      </w:tr>
      <w:tr>
        <w:tc>
          <w:tcPr>
            <w:tcW w:type="dxa" w:w="2304"/>
          </w:tcPr>
          <w:p>
            <w:pPr>
              <w:keepNext/>
              <w:spacing w:after="40" w:before="40"/>
            </w:pPr>
            <w:r/>
            <w:r>
              <w:rPr>
                <w:sz w:val="19"/>
              </w:rPr>
              <w:t>Top 10% by risk</w:t>
            </w:r>
          </w:p>
        </w:tc>
        <w:tc>
          <w:tcPr>
            <w:tcW w:type="dxa" w:w="1296"/>
          </w:tcPr>
          <w:p>
            <w:pPr>
              <w:keepNext/>
              <w:spacing w:after="40" w:before="40"/>
              <w:jc w:val="right"/>
            </w:pPr>
            <w:r/>
            <w:r>
              <w:rPr>
                <w:sz w:val="19"/>
              </w:rPr>
              <w:t>704</w:t>
            </w:r>
          </w:p>
        </w:tc>
        <w:tc>
          <w:tcPr>
            <w:tcW w:type="dxa" w:w="2016"/>
          </w:tcPr>
          <w:p>
            <w:pPr>
              <w:keepNext/>
              <w:spacing w:after="40" w:before="40"/>
              <w:jc w:val="right"/>
            </w:pPr>
            <w:r/>
            <w:r>
              <w:rPr>
                <w:sz w:val="19"/>
              </w:rPr>
              <w:t>76%</w:t>
            </w:r>
          </w:p>
        </w:tc>
        <w:tc>
          <w:tcPr>
            <w:tcW w:type="dxa" w:w="2016"/>
          </w:tcPr>
          <w:p>
            <w:pPr>
              <w:keepNext/>
              <w:spacing w:after="40" w:before="40"/>
              <w:jc w:val="right"/>
            </w:pPr>
            <w:r/>
            <w:r>
              <w:rPr>
                <w:sz w:val="19"/>
              </w:rPr>
              <w:t>29%</w:t>
            </w:r>
          </w:p>
        </w:tc>
        <w:tc>
          <w:tcPr>
            <w:tcW w:type="dxa" w:w="1584"/>
          </w:tcPr>
          <w:p>
            <w:pPr>
              <w:keepNext/>
              <w:spacing w:after="40" w:before="40"/>
              <w:jc w:val="right"/>
            </w:pPr>
            <w:r/>
            <w:r>
              <w:rPr>
                <w:sz w:val="19"/>
              </w:rPr>
              <w:t>2.9x</w:t>
            </w:r>
          </w:p>
        </w:tc>
      </w:tr>
      <w:tr>
        <w:tc>
          <w:tcPr>
            <w:tcW w:type="dxa" w:w="2304"/>
            <w:shd w:val="clear" w:color="auto" w:fill="F3F5FA"/>
          </w:tcPr>
          <w:p>
            <w:pPr>
              <w:keepNext/>
              <w:spacing w:after="40" w:before="40"/>
            </w:pPr>
            <w:r/>
            <w:r>
              <w:rPr>
                <w:sz w:val="19"/>
              </w:rPr>
              <w:t>Top 15% by risk</w:t>
            </w:r>
          </w:p>
        </w:tc>
        <w:tc>
          <w:tcPr>
            <w:tcW w:type="dxa" w:w="1296"/>
            <w:shd w:val="clear" w:color="auto" w:fill="F3F5FA"/>
          </w:tcPr>
          <w:p>
            <w:pPr>
              <w:keepNext/>
              <w:spacing w:after="40" w:before="40"/>
              <w:jc w:val="right"/>
            </w:pPr>
            <w:r/>
            <w:r>
              <w:rPr>
                <w:sz w:val="19"/>
              </w:rPr>
              <w:t>1,056</w:t>
            </w:r>
          </w:p>
        </w:tc>
        <w:tc>
          <w:tcPr>
            <w:tcW w:type="dxa" w:w="2016"/>
            <w:shd w:val="clear" w:color="auto" w:fill="F3F5FA"/>
          </w:tcPr>
          <w:p>
            <w:pPr>
              <w:keepNext/>
              <w:spacing w:after="40" w:before="40"/>
              <w:jc w:val="right"/>
            </w:pPr>
            <w:r/>
            <w:r>
              <w:rPr>
                <w:sz w:val="19"/>
              </w:rPr>
              <w:t>71%</w:t>
            </w:r>
          </w:p>
        </w:tc>
        <w:tc>
          <w:tcPr>
            <w:tcW w:type="dxa" w:w="2016"/>
            <w:shd w:val="clear" w:color="auto" w:fill="F3F5FA"/>
          </w:tcPr>
          <w:p>
            <w:pPr>
              <w:keepNext/>
              <w:spacing w:after="40" w:before="40"/>
              <w:jc w:val="right"/>
            </w:pPr>
            <w:r/>
            <w:r>
              <w:rPr>
                <w:sz w:val="19"/>
              </w:rPr>
              <w:t>40%</w:t>
            </w:r>
          </w:p>
        </w:tc>
        <w:tc>
          <w:tcPr>
            <w:tcW w:type="dxa" w:w="1584"/>
            <w:shd w:val="clear" w:color="auto" w:fill="F3F5FA"/>
          </w:tcPr>
          <w:p>
            <w:pPr>
              <w:keepNext/>
              <w:spacing w:after="40" w:before="40"/>
              <w:jc w:val="right"/>
            </w:pPr>
            <w:r/>
            <w:r>
              <w:rPr>
                <w:sz w:val="19"/>
              </w:rPr>
              <w:t>2.7x</w:t>
            </w:r>
          </w:p>
        </w:tc>
      </w:tr>
      <w:tr>
        <w:tc>
          <w:tcPr>
            <w:tcW w:type="dxa" w:w="2304"/>
          </w:tcPr>
          <w:p>
            <w:pPr>
              <w:keepNext w:val="0"/>
              <w:spacing w:after="40" w:before="40"/>
            </w:pPr>
            <w:r/>
            <w:r>
              <w:rPr>
                <w:sz w:val="19"/>
              </w:rPr>
              <w:t>Top 20% by risk</w:t>
            </w:r>
          </w:p>
        </w:tc>
        <w:tc>
          <w:tcPr>
            <w:tcW w:type="dxa" w:w="1296"/>
          </w:tcPr>
          <w:p>
            <w:pPr>
              <w:keepNext w:val="0"/>
              <w:spacing w:after="40" w:before="40"/>
              <w:jc w:val="right"/>
            </w:pPr>
            <w:r/>
            <w:r>
              <w:rPr>
                <w:sz w:val="19"/>
              </w:rPr>
              <w:t>1,409</w:t>
            </w:r>
          </w:p>
        </w:tc>
        <w:tc>
          <w:tcPr>
            <w:tcW w:type="dxa" w:w="2016"/>
          </w:tcPr>
          <w:p>
            <w:pPr>
              <w:keepNext w:val="0"/>
              <w:spacing w:after="40" w:before="40"/>
              <w:jc w:val="right"/>
            </w:pPr>
            <w:r/>
            <w:r>
              <w:rPr>
                <w:sz w:val="19"/>
              </w:rPr>
              <w:t>67%</w:t>
            </w:r>
          </w:p>
        </w:tc>
        <w:tc>
          <w:tcPr>
            <w:tcW w:type="dxa" w:w="2016"/>
          </w:tcPr>
          <w:p>
            <w:pPr>
              <w:keepNext w:val="0"/>
              <w:spacing w:after="40" w:before="40"/>
              <w:jc w:val="right"/>
            </w:pPr>
            <w:r/>
            <w:r>
              <w:rPr>
                <w:sz w:val="19"/>
              </w:rPr>
              <w:t>51%</w:t>
            </w:r>
          </w:p>
        </w:tc>
        <w:tc>
          <w:tcPr>
            <w:tcW w:type="dxa" w:w="1584"/>
          </w:tcPr>
          <w:p>
            <w:pPr>
              <w:keepNext w:val="0"/>
              <w:spacing w:after="40" w:before="40"/>
              <w:jc w:val="right"/>
            </w:pPr>
            <w:r/>
            <w:r>
              <w:rPr>
                <w:sz w:val="19"/>
              </w:rPr>
              <w:t>2.5x</w:t>
            </w:r>
          </w:p>
        </w:tc>
      </w:tr>
    </w:tbl>
    <w:p>
      <w:pPr>
        <w:spacing w:after="40"/>
      </w:pPr>
    </w:p>
    <w:p>
      <w:r>
        <w:rPr>
          <w:b w:val="0"/>
          <w:i w:val="0"/>
        </w:rPr>
        <w:t>Calling customers at random would reach a leaver 27% of the time. The risk list reaches one 67% to 76% of the time.</w:t>
      </w:r>
    </w:p>
    <w:p>
      <w:pPr>
        <w:pStyle w:val="Heading2"/>
      </w:pPr>
      <w:r>
        <w:t>Revenue protected</w:t>
      </w:r>
    </w:p>
    <w:p>
      <w:r>
        <w:rPr>
          <w:b w:val="0"/>
          <w:i w:val="0"/>
        </w:rPr>
        <w:t>The leavers in the top 20% were paying $74,907 a month between them. What that is worth depends on how many a retention offer keeps.</w:t>
      </w:r>
    </w:p>
    <w:tbl>
      <w:tblPr>
        <w:tblStyle w:val="TableGrid"/>
        <w:tblW w:type="auto" w:w="0"/>
        <w:jc w:val="center"/>
        <w:tblLayout w:type="fixed"/>
        <w:tblLook w:firstColumn="1" w:firstRow="1" w:lastColumn="0" w:lastRow="0" w:noHBand="0" w:noVBand="1" w:val="04A0"/>
      </w:tblPr>
      <w:tblGrid>
        <w:gridCol w:w="3168"/>
        <w:gridCol w:w="3024"/>
        <w:gridCol w:w="3024"/>
      </w:tblGrid>
      <w:tr>
        <w:tc>
          <w:tcPr>
            <w:tcW w:type="dxa" w:w="3168"/>
            <w:shd w:val="clear" w:color="auto" w:fill="14213D"/>
          </w:tcPr>
          <w:p>
            <w:pPr>
              <w:keepNext/>
              <w:spacing w:after="40" w:before="40"/>
            </w:pPr>
            <w:r/>
            <w:r>
              <w:rPr>
                <w:b/>
                <w:color w:val="FFFFFF"/>
                <w:sz w:val="19"/>
              </w:rPr>
              <w:t>If the offer keeps</w:t>
            </w:r>
          </w:p>
        </w:tc>
        <w:tc>
          <w:tcPr>
            <w:tcW w:type="dxa" w:w="3024"/>
            <w:shd w:val="clear" w:color="auto" w:fill="14213D"/>
          </w:tcPr>
          <w:p>
            <w:pPr>
              <w:keepNext/>
              <w:spacing w:after="40" w:before="40"/>
            </w:pPr>
            <w:r/>
            <w:r>
              <w:rPr>
                <w:b/>
                <w:color w:val="FFFFFF"/>
                <w:sz w:val="19"/>
              </w:rPr>
              <w:t>Monthly revenue protected</w:t>
            </w:r>
          </w:p>
        </w:tc>
        <w:tc>
          <w:tcPr>
            <w:tcW w:type="dxa" w:w="3024"/>
            <w:shd w:val="clear" w:color="auto" w:fill="14213D"/>
          </w:tcPr>
          <w:p>
            <w:pPr>
              <w:keepNext/>
              <w:spacing w:after="40" w:before="40"/>
            </w:pPr>
            <w:r/>
            <w:r>
              <w:rPr>
                <w:b/>
                <w:color w:val="FFFFFF"/>
                <w:sz w:val="19"/>
              </w:rPr>
              <w:t>Over 12 months</w:t>
            </w:r>
          </w:p>
        </w:tc>
      </w:tr>
      <w:tr>
        <w:tc>
          <w:tcPr>
            <w:tcW w:type="dxa" w:w="3168"/>
          </w:tcPr>
          <w:p>
            <w:pPr>
              <w:keepNext/>
              <w:spacing w:after="40" w:before="40"/>
            </w:pPr>
            <w:r/>
            <w:r>
              <w:rPr>
                <w:sz w:val="19"/>
              </w:rPr>
              <w:t>20% of them</w:t>
            </w:r>
          </w:p>
        </w:tc>
        <w:tc>
          <w:tcPr>
            <w:tcW w:type="dxa" w:w="3024"/>
          </w:tcPr>
          <w:p>
            <w:pPr>
              <w:keepNext/>
              <w:spacing w:after="40" w:before="40"/>
              <w:jc w:val="right"/>
            </w:pPr>
            <w:r/>
            <w:r>
              <w:rPr>
                <w:sz w:val="19"/>
              </w:rPr>
              <w:t>$14,981</w:t>
            </w:r>
          </w:p>
        </w:tc>
        <w:tc>
          <w:tcPr>
            <w:tcW w:type="dxa" w:w="3024"/>
          </w:tcPr>
          <w:p>
            <w:pPr>
              <w:keepNext/>
              <w:spacing w:after="40" w:before="40"/>
              <w:jc w:val="right"/>
            </w:pPr>
            <w:r/>
            <w:r>
              <w:rPr>
                <w:sz w:val="19"/>
              </w:rPr>
              <w:t>$179,776</w:t>
            </w:r>
          </w:p>
        </w:tc>
      </w:tr>
      <w:tr>
        <w:tc>
          <w:tcPr>
            <w:tcW w:type="dxa" w:w="3168"/>
            <w:shd w:val="clear" w:color="auto" w:fill="F3F5FA"/>
          </w:tcPr>
          <w:p>
            <w:pPr>
              <w:keepNext/>
              <w:spacing w:after="40" w:before="40"/>
            </w:pPr>
            <w:r/>
            <w:r>
              <w:rPr>
                <w:sz w:val="19"/>
              </w:rPr>
              <w:t>30% of them</w:t>
            </w:r>
          </w:p>
        </w:tc>
        <w:tc>
          <w:tcPr>
            <w:tcW w:type="dxa" w:w="3024"/>
            <w:shd w:val="clear" w:color="auto" w:fill="F3F5FA"/>
          </w:tcPr>
          <w:p>
            <w:pPr>
              <w:keepNext/>
              <w:spacing w:after="40" w:before="40"/>
              <w:jc w:val="right"/>
            </w:pPr>
            <w:r/>
            <w:r>
              <w:rPr>
                <w:sz w:val="19"/>
              </w:rPr>
              <w:t>$22,472</w:t>
            </w:r>
          </w:p>
        </w:tc>
        <w:tc>
          <w:tcPr>
            <w:tcW w:type="dxa" w:w="3024"/>
            <w:shd w:val="clear" w:color="auto" w:fill="F3F5FA"/>
          </w:tcPr>
          <w:p>
            <w:pPr>
              <w:keepNext/>
              <w:spacing w:after="40" w:before="40"/>
              <w:jc w:val="right"/>
            </w:pPr>
            <w:r/>
            <w:r>
              <w:rPr>
                <w:sz w:val="19"/>
              </w:rPr>
              <w:t>$269,664</w:t>
            </w:r>
          </w:p>
        </w:tc>
      </w:tr>
      <w:tr>
        <w:tc>
          <w:tcPr>
            <w:tcW w:type="dxa" w:w="3168"/>
          </w:tcPr>
          <w:p>
            <w:pPr>
              <w:keepNext w:val="0"/>
              <w:spacing w:after="40" w:before="40"/>
            </w:pPr>
            <w:r/>
            <w:r>
              <w:rPr>
                <w:sz w:val="19"/>
              </w:rPr>
              <w:t>40% of them</w:t>
            </w:r>
          </w:p>
        </w:tc>
        <w:tc>
          <w:tcPr>
            <w:tcW w:type="dxa" w:w="3024"/>
          </w:tcPr>
          <w:p>
            <w:pPr>
              <w:keepNext w:val="0"/>
              <w:spacing w:after="40" w:before="40"/>
              <w:jc w:val="right"/>
            </w:pPr>
            <w:r/>
            <w:r>
              <w:rPr>
                <w:sz w:val="19"/>
              </w:rPr>
              <w:t>$29,963</w:t>
            </w:r>
          </w:p>
        </w:tc>
        <w:tc>
          <w:tcPr>
            <w:tcW w:type="dxa" w:w="3024"/>
          </w:tcPr>
          <w:p>
            <w:pPr>
              <w:keepNext w:val="0"/>
              <w:spacing w:after="40" w:before="40"/>
              <w:jc w:val="right"/>
            </w:pPr>
            <w:r/>
            <w:r>
              <w:rPr>
                <w:sz w:val="19"/>
              </w:rPr>
              <w:t>$359,551</w:t>
            </w:r>
          </w:p>
        </w:tc>
      </w:tr>
    </w:tbl>
    <w:p>
      <w:pPr>
        <w:spacing w:after="40"/>
      </w:pPr>
    </w:p>
    <w:p>
      <w:pPr>
        <w:keepNext/>
        <w:jc w:val="center"/>
      </w:pPr>
      <w:r>
        <w:drawing>
          <wp:inline xmlns:a="http://schemas.openxmlformats.org/drawingml/2006/main" xmlns:pic="http://schemas.openxmlformats.org/drawingml/2006/picture">
            <wp:extent cx="3291840" cy="3291840"/>
            <wp:docPr id="9" name="Picture 9"/>
            <wp:cNvGraphicFramePr>
              <a:graphicFrameLocks noChangeAspect="1"/>
            </wp:cNvGraphicFramePr>
            <a:graphic>
              <a:graphicData uri="http://schemas.openxmlformats.org/drawingml/2006/picture">
                <pic:pic>
                  <pic:nvPicPr>
                    <pic:cNvPr id="0" name="08-value-of-targeting.png"/>
                    <pic:cNvPicPr/>
                  </pic:nvPicPr>
                  <pic:blipFill>
                    <a:blip r:embed="rId18"/>
                    <a:stretch>
                      <a:fillRect/>
                    </a:stretch>
                  </pic:blipFill>
                  <pic:spPr>
                    <a:xfrm>
                      <a:off x="0" y="0"/>
                      <a:ext cx="3291840" cy="3291840"/>
                    </a:xfrm>
                    <a:prstGeom prst="rect"/>
                  </pic:spPr>
                </pic:pic>
              </a:graphicData>
            </a:graphic>
          </wp:inline>
        </w:drawing>
      </w:r>
    </w:p>
    <w:p>
      <w:pPr>
        <w:spacing w:after="200"/>
        <w:jc w:val="center"/>
      </w:pPr>
      <w:r>
        <w:rPr>
          <w:b w:val="0"/>
          <w:i/>
          <w:color w:val="6B7588"/>
          <w:sz w:val="18"/>
        </w:rPr>
        <w:t>Figure 8. Share of all leavers found among the highest-risk customers</w:t>
      </w:r>
    </w:p>
    <w:p>
      <w:pPr>
        <w:pStyle w:val="Heading2"/>
      </w:pPr>
      <w:r>
        <w:t>How to read these figures</w:t>
      </w:r>
    </w:p>
    <w:p>
      <w:r>
        <w:rPr>
          <w:b w:val="0"/>
          <w:i w:val="0"/>
        </w:rPr>
        <w:t>These are scenarios, not measured outcomes. They come from a back-test on customers who had already left. The save rates are assumptions, the 12 month figure assumes saved customers stay for the year, and the cost of the retention offer is not included. A real engagement would test the offer on a small group first and measure the true save rate.</w:t>
      </w:r>
    </w:p>
    <w:p>
      <w:pPr>
        <w:pStyle w:val="Heading1"/>
        <w:pageBreakBefore/>
      </w:pPr>
      <w:r>
        <w:t>7. Recommendations</w:t>
      </w:r>
    </w:p>
    <w:tbl>
      <w:tblPr>
        <w:tblStyle w:val="TableGrid"/>
        <w:tblW w:type="auto" w:w="0"/>
        <w:jc w:val="center"/>
        <w:tblLayout w:type="fixed"/>
        <w:tblLook w:firstColumn="1" w:firstRow="1" w:lastColumn="0" w:lastRow="0" w:noHBand="0" w:noVBand="1" w:val="04A0"/>
      </w:tblPr>
      <w:tblGrid>
        <w:gridCol w:w="432"/>
        <w:gridCol w:w="2448"/>
        <w:gridCol w:w="3312"/>
        <w:gridCol w:w="3024"/>
      </w:tblGrid>
      <w:tr>
        <w:tc>
          <w:tcPr>
            <w:tcW w:type="dxa" w:w="432"/>
            <w:shd w:val="clear" w:color="auto" w:fill="14213D"/>
          </w:tcPr>
          <w:p>
            <w:pPr>
              <w:keepNext/>
              <w:spacing w:after="40" w:before="40"/>
            </w:pPr>
            <w:r/>
            <w:r>
              <w:rPr>
                <w:b/>
                <w:color w:val="FFFFFF"/>
                <w:sz w:val="19"/>
              </w:rPr>
              <w:t>#</w:t>
            </w:r>
          </w:p>
        </w:tc>
        <w:tc>
          <w:tcPr>
            <w:tcW w:type="dxa" w:w="2448"/>
            <w:shd w:val="clear" w:color="auto" w:fill="14213D"/>
          </w:tcPr>
          <w:p>
            <w:pPr>
              <w:keepNext/>
              <w:spacing w:after="40" w:before="40"/>
            </w:pPr>
            <w:r/>
            <w:r>
              <w:rPr>
                <w:b/>
                <w:color w:val="FFFFFF"/>
                <w:sz w:val="19"/>
              </w:rPr>
              <w:t>Action</w:t>
            </w:r>
          </w:p>
        </w:tc>
        <w:tc>
          <w:tcPr>
            <w:tcW w:type="dxa" w:w="3312"/>
            <w:shd w:val="clear" w:color="auto" w:fill="14213D"/>
          </w:tcPr>
          <w:p>
            <w:pPr>
              <w:keepNext/>
              <w:spacing w:after="40" w:before="40"/>
            </w:pPr>
            <w:r/>
            <w:r>
              <w:rPr>
                <w:b/>
                <w:color w:val="FFFFFF"/>
                <w:sz w:val="19"/>
              </w:rPr>
              <w:t>Evidence</w:t>
            </w:r>
          </w:p>
        </w:tc>
        <w:tc>
          <w:tcPr>
            <w:tcW w:type="dxa" w:w="3024"/>
            <w:shd w:val="clear" w:color="auto" w:fill="14213D"/>
          </w:tcPr>
          <w:p>
            <w:pPr>
              <w:keepNext/>
              <w:spacing w:after="40" w:before="40"/>
            </w:pPr>
            <w:r/>
            <w:r>
              <w:rPr>
                <w:b/>
                <w:color w:val="FFFFFF"/>
                <w:sz w:val="19"/>
              </w:rPr>
              <w:t>First step</w:t>
            </w:r>
          </w:p>
        </w:tc>
      </w:tr>
      <w:tr>
        <w:tc>
          <w:tcPr>
            <w:tcW w:type="dxa" w:w="432"/>
          </w:tcPr>
          <w:p>
            <w:pPr>
              <w:keepNext/>
              <w:spacing w:after="40" w:before="40"/>
            </w:pPr>
            <w:r/>
            <w:r>
              <w:rPr>
                <w:sz w:val="19"/>
              </w:rPr>
              <w:t>1</w:t>
            </w:r>
          </w:p>
        </w:tc>
        <w:tc>
          <w:tcPr>
            <w:tcW w:type="dxa" w:w="2448"/>
          </w:tcPr>
          <w:p>
            <w:pPr>
              <w:keepNext/>
              <w:spacing w:after="40" w:before="40"/>
            </w:pPr>
            <w:r/>
            <w:r>
              <w:rPr>
                <w:sz w:val="19"/>
              </w:rPr>
              <w:t>Win the first six months</w:t>
            </w:r>
          </w:p>
        </w:tc>
        <w:tc>
          <w:tcPr>
            <w:tcW w:type="dxa" w:w="3312"/>
          </w:tcPr>
          <w:p>
            <w:pPr>
              <w:keepNext/>
              <w:spacing w:after="40" w:before="40"/>
            </w:pPr>
            <w:r/>
            <w:r>
              <w:rPr>
                <w:sz w:val="19"/>
              </w:rPr>
              <w:t>52.9% of customers in their first 6 months leave.</w:t>
            </w:r>
          </w:p>
        </w:tc>
        <w:tc>
          <w:tcPr>
            <w:tcW w:type="dxa" w:w="3024"/>
          </w:tcPr>
          <w:p>
            <w:pPr>
              <w:keepNext/>
              <w:spacing w:after="40" w:before="40"/>
            </w:pPr>
            <w:r/>
            <w:r>
              <w:rPr>
                <w:sz w:val="19"/>
              </w:rPr>
              <w:t>Add a welcome call, a 30 day check-in and a 90 day review for every new customer.</w:t>
            </w:r>
          </w:p>
        </w:tc>
      </w:tr>
      <w:tr>
        <w:tc>
          <w:tcPr>
            <w:tcW w:type="dxa" w:w="432"/>
            <w:shd w:val="clear" w:color="auto" w:fill="F3F5FA"/>
          </w:tcPr>
          <w:p>
            <w:pPr>
              <w:keepNext/>
              <w:spacing w:after="40" w:before="40"/>
            </w:pPr>
            <w:r/>
            <w:r>
              <w:rPr>
                <w:sz w:val="19"/>
              </w:rPr>
              <w:t>2</w:t>
            </w:r>
          </w:p>
        </w:tc>
        <w:tc>
          <w:tcPr>
            <w:tcW w:type="dxa" w:w="2448"/>
            <w:shd w:val="clear" w:color="auto" w:fill="F3F5FA"/>
          </w:tcPr>
          <w:p>
            <w:pPr>
              <w:keepNext/>
              <w:spacing w:after="40" w:before="40"/>
            </w:pPr>
            <w:r/>
            <w:r>
              <w:rPr>
                <w:sz w:val="19"/>
              </w:rPr>
              <w:t>Move month-to-month customers onto contracts</w:t>
            </w:r>
          </w:p>
        </w:tc>
        <w:tc>
          <w:tcPr>
            <w:tcW w:type="dxa" w:w="3312"/>
            <w:shd w:val="clear" w:color="auto" w:fill="F3F5FA"/>
          </w:tcPr>
          <w:p>
            <w:pPr>
              <w:keepNext/>
              <w:spacing w:after="40" w:before="40"/>
            </w:pPr>
            <w:r/>
            <w:r>
              <w:rPr>
                <w:sz w:val="19"/>
              </w:rPr>
              <w:t>Month-to-month churn is 42.7%, against 11.3% on one year contracts.</w:t>
            </w:r>
          </w:p>
        </w:tc>
        <w:tc>
          <w:tcPr>
            <w:tcW w:type="dxa" w:w="3024"/>
            <w:shd w:val="clear" w:color="auto" w:fill="F3F5FA"/>
          </w:tcPr>
          <w:p>
            <w:pPr>
              <w:keepNext/>
              <w:spacing w:after="40" w:before="40"/>
            </w:pPr>
            <w:r/>
            <w:r>
              <w:rPr>
                <w:sz w:val="19"/>
              </w:rPr>
              <w:t>Offer a discount or a free add-on for committing to 12 months.</w:t>
            </w:r>
          </w:p>
        </w:tc>
      </w:tr>
      <w:tr>
        <w:tc>
          <w:tcPr>
            <w:tcW w:type="dxa" w:w="432"/>
          </w:tcPr>
          <w:p>
            <w:pPr>
              <w:keepNext/>
              <w:spacing w:after="40" w:before="40"/>
            </w:pPr>
            <w:r/>
            <w:r>
              <w:rPr>
                <w:sz w:val="19"/>
              </w:rPr>
              <w:t>3</w:t>
            </w:r>
          </w:p>
        </w:tc>
        <w:tc>
          <w:tcPr>
            <w:tcW w:type="dxa" w:w="2448"/>
          </w:tcPr>
          <w:p>
            <w:pPr>
              <w:keepNext/>
              <w:spacing w:after="40" w:before="40"/>
            </w:pPr>
            <w:r/>
            <w:r>
              <w:rPr>
                <w:sz w:val="19"/>
              </w:rPr>
              <w:t>Bundle online security and tech support</w:t>
            </w:r>
          </w:p>
        </w:tc>
        <w:tc>
          <w:tcPr>
            <w:tcW w:type="dxa" w:w="3312"/>
          </w:tcPr>
          <w:p>
            <w:pPr>
              <w:keepNext/>
              <w:spacing w:after="40" w:before="40"/>
            </w:pPr>
            <w:r/>
            <w:r>
              <w:rPr>
                <w:sz w:val="19"/>
              </w:rPr>
              <w:t>Internet customers with no add-ons churn at 52.2%; those with online security churn at 14.6%.</w:t>
            </w:r>
          </w:p>
        </w:tc>
        <w:tc>
          <w:tcPr>
            <w:tcW w:type="dxa" w:w="3024"/>
          </w:tcPr>
          <w:p>
            <w:pPr>
              <w:keepNext/>
              <w:spacing w:after="40" w:before="40"/>
            </w:pPr>
            <w:r/>
            <w:r>
              <w:rPr>
                <w:sz w:val="19"/>
              </w:rPr>
              <w:t>Trial these services free for 3 months with customers who have no add-ons.</w:t>
            </w:r>
          </w:p>
        </w:tc>
      </w:tr>
      <w:tr>
        <w:tc>
          <w:tcPr>
            <w:tcW w:type="dxa" w:w="432"/>
            <w:shd w:val="clear" w:color="auto" w:fill="F3F5FA"/>
          </w:tcPr>
          <w:p>
            <w:pPr>
              <w:keepNext/>
              <w:spacing w:after="40" w:before="40"/>
            </w:pPr>
            <w:r/>
            <w:r>
              <w:rPr>
                <w:sz w:val="19"/>
              </w:rPr>
              <w:t>4</w:t>
            </w:r>
          </w:p>
        </w:tc>
        <w:tc>
          <w:tcPr>
            <w:tcW w:type="dxa" w:w="2448"/>
            <w:shd w:val="clear" w:color="auto" w:fill="F3F5FA"/>
          </w:tcPr>
          <w:p>
            <w:pPr>
              <w:keepNext/>
              <w:spacing w:after="40" w:before="40"/>
            </w:pPr>
            <w:r/>
            <w:r>
              <w:rPr>
                <w:sz w:val="19"/>
              </w:rPr>
              <w:t>Shift electronic check payers to automatic payment</w:t>
            </w:r>
          </w:p>
        </w:tc>
        <w:tc>
          <w:tcPr>
            <w:tcW w:type="dxa" w:w="3312"/>
            <w:shd w:val="clear" w:color="auto" w:fill="F3F5FA"/>
          </w:tcPr>
          <w:p>
            <w:pPr>
              <w:keepNext/>
              <w:spacing w:after="40" w:before="40"/>
            </w:pPr>
            <w:r/>
            <w:r>
              <w:rPr>
                <w:sz w:val="19"/>
              </w:rPr>
              <w:t>Electronic check payers churn at 45.3%, about three times the rate of customers on automatic payments.</w:t>
            </w:r>
          </w:p>
        </w:tc>
        <w:tc>
          <w:tcPr>
            <w:tcW w:type="dxa" w:w="3024"/>
            <w:shd w:val="clear" w:color="auto" w:fill="F3F5FA"/>
          </w:tcPr>
          <w:p>
            <w:pPr>
              <w:keepNext/>
              <w:spacing w:after="40" w:before="40"/>
            </w:pPr>
            <w:r/>
            <w:r>
              <w:rPr>
                <w:sz w:val="19"/>
              </w:rPr>
              <w:t>Give a small bill credit for switching.</w:t>
            </w:r>
          </w:p>
        </w:tc>
      </w:tr>
      <w:tr>
        <w:tc>
          <w:tcPr>
            <w:tcW w:type="dxa" w:w="432"/>
          </w:tcPr>
          <w:p>
            <w:pPr>
              <w:keepNext/>
              <w:spacing w:after="40" w:before="40"/>
            </w:pPr>
            <w:r/>
            <w:r>
              <w:rPr>
                <w:sz w:val="19"/>
              </w:rPr>
              <w:t>5</w:t>
            </w:r>
          </w:p>
        </w:tc>
        <w:tc>
          <w:tcPr>
            <w:tcW w:type="dxa" w:w="2448"/>
          </w:tcPr>
          <w:p>
            <w:pPr>
              <w:keepNext/>
              <w:spacing w:after="40" w:before="40"/>
            </w:pPr>
            <w:r/>
            <w:r>
              <w:rPr>
                <w:sz w:val="19"/>
              </w:rPr>
              <w:t>Review the fibre optic experience and price</w:t>
            </w:r>
          </w:p>
        </w:tc>
        <w:tc>
          <w:tcPr>
            <w:tcW w:type="dxa" w:w="3312"/>
          </w:tcPr>
          <w:p>
            <w:pPr>
              <w:keepNext/>
              <w:spacing w:after="40" w:before="40"/>
            </w:pPr>
            <w:r/>
            <w:r>
              <w:rPr>
                <w:sz w:val="19"/>
              </w:rPr>
              <w:t>Fibre customers churn at 41.9% and account for $114,300 of the $139,131 lost each month.</w:t>
            </w:r>
          </w:p>
        </w:tc>
        <w:tc>
          <w:tcPr>
            <w:tcW w:type="dxa" w:w="3024"/>
          </w:tcPr>
          <w:p>
            <w:pPr>
              <w:keepNext/>
              <w:spacing w:after="40" w:before="40"/>
            </w:pPr>
            <w:r/>
            <w:r>
              <w:rPr>
                <w:sz w:val="19"/>
              </w:rPr>
              <w:t>Survey leavers and compare price and service quality with competitors.</w:t>
            </w:r>
          </w:p>
        </w:tc>
      </w:tr>
      <w:tr>
        <w:tc>
          <w:tcPr>
            <w:tcW w:type="dxa" w:w="432"/>
            <w:shd w:val="clear" w:color="auto" w:fill="F3F5FA"/>
          </w:tcPr>
          <w:p>
            <w:pPr>
              <w:keepNext w:val="0"/>
              <w:spacing w:after="40" w:before="40"/>
            </w:pPr>
            <w:r/>
            <w:r>
              <w:rPr>
                <w:sz w:val="19"/>
              </w:rPr>
              <w:t>6</w:t>
            </w:r>
          </w:p>
        </w:tc>
        <w:tc>
          <w:tcPr>
            <w:tcW w:type="dxa" w:w="2448"/>
            <w:shd w:val="clear" w:color="auto" w:fill="F3F5FA"/>
          </w:tcPr>
          <w:p>
            <w:pPr>
              <w:keepNext w:val="0"/>
              <w:spacing w:after="40" w:before="40"/>
            </w:pPr>
            <w:r/>
            <w:r>
              <w:rPr>
                <w:sz w:val="19"/>
              </w:rPr>
              <w:t>Call the highest-risk customers every week</w:t>
            </w:r>
          </w:p>
        </w:tc>
        <w:tc>
          <w:tcPr>
            <w:tcW w:type="dxa" w:w="3312"/>
            <w:shd w:val="clear" w:color="auto" w:fill="F3F5FA"/>
          </w:tcPr>
          <w:p>
            <w:pPr>
              <w:keepNext w:val="0"/>
              <w:spacing w:after="40" w:before="40"/>
            </w:pPr>
            <w:r/>
            <w:r>
              <w:rPr>
                <w:sz w:val="19"/>
              </w:rPr>
              <w:t>The riskiest 20% of customers contained 51% of all leavers.</w:t>
            </w:r>
          </w:p>
        </w:tc>
        <w:tc>
          <w:tcPr>
            <w:tcW w:type="dxa" w:w="3024"/>
            <w:shd w:val="clear" w:color="auto" w:fill="F3F5FA"/>
          </w:tcPr>
          <w:p>
            <w:pPr>
              <w:keepNext w:val="0"/>
              <w:spacing w:after="40" w:before="40"/>
            </w:pPr>
            <w:r/>
            <w:r>
              <w:rPr>
                <w:sz w:val="19"/>
              </w:rPr>
              <w:t>Work the at-risk list in the dashboard from the top, starting with high-value customers.</w:t>
            </w:r>
          </w:p>
        </w:tc>
      </w:tr>
    </w:tbl>
    <w:p>
      <w:pPr>
        <w:spacing w:after="40"/>
      </w:pPr>
    </w:p>
    <w:p>
      <w:pPr>
        <w:pStyle w:val="Heading2"/>
      </w:pPr>
      <w:r>
        <w:t>A caution</w:t>
      </w:r>
    </w:p>
    <w:p>
      <w:r>
        <w:rPr>
          <w:b w:val="0"/>
          <w:i w:val="0"/>
        </w:rPr>
        <w:t>These patterns show what goes together with churn. They are not proof of cause. For example, customers who choose a two year contract may already be more loyal. Each recommendation should be run as a small test first and measured before it is rolled out.</w:t>
      </w:r>
    </w:p>
    <w:p>
      <w:pPr>
        <w:pStyle w:val="Heading1"/>
        <w:pageBreakBefore/>
      </w:pPr>
      <w:r>
        <w:t>8. The Interactive Dashboard</w:t>
      </w:r>
    </w:p>
    <w:p>
      <w:r>
        <w:rPr>
          <w:b w:val="0"/>
          <w:i w:val="0"/>
        </w:rPr>
        <w:t>All of the analysis is available in one interactive dashboard. It has filters for contract, internet service, payment method, tenure band and senior citizen, seven key figures, six charts, a sortable and searchable list of at-risk customers, the model results and the recommended actions. It works on a laptop or phone, and offline.</w:t>
      </w:r>
    </w:p>
    <w:p>
      <w:r>
        <w:rPr>
          <w:b/>
        </w:rPr>
        <w:t xml:space="preserve">Open it here: </w:t>
      </w:r>
      <w:r>
        <w:rPr>
          <w:b w:val="0"/>
        </w:rPr>
        <w:t>https://kuwalaanalytics.github.io/telecom-churn-retention-analysis/</w:t>
      </w:r>
    </w:p>
    <w:p>
      <w:pPr>
        <w:keepNext/>
        <w:jc w:val="center"/>
      </w:pPr>
      <w:r>
        <w:drawing>
          <wp:inline xmlns:a="http://schemas.openxmlformats.org/drawingml/2006/main" xmlns:pic="http://schemas.openxmlformats.org/drawingml/2006/picture">
            <wp:extent cx="4754880" cy="7164019"/>
            <wp:docPr id="10" name="Picture 10"/>
            <wp:cNvGraphicFramePr>
              <a:graphicFrameLocks noChangeAspect="1"/>
            </wp:cNvGraphicFramePr>
            <a:graphic>
              <a:graphicData uri="http://schemas.openxmlformats.org/drawingml/2006/picture">
                <pic:pic>
                  <pic:nvPicPr>
                    <pic:cNvPr id="0" name="dashboard-screenshot.png"/>
                    <pic:cNvPicPr/>
                  </pic:nvPicPr>
                  <pic:blipFill>
                    <a:blip r:embed="rId19"/>
                    <a:stretch>
                      <a:fillRect/>
                    </a:stretch>
                  </pic:blipFill>
                  <pic:spPr>
                    <a:xfrm>
                      <a:off x="0" y="0"/>
                      <a:ext cx="4754880" cy="7164019"/>
                    </a:xfrm>
                    <a:prstGeom prst="rect"/>
                  </pic:spPr>
                </pic:pic>
              </a:graphicData>
            </a:graphic>
          </wp:inline>
        </w:drawing>
      </w:r>
    </w:p>
    <w:p>
      <w:pPr>
        <w:spacing w:after="200"/>
        <w:jc w:val="center"/>
      </w:pPr>
      <w:r>
        <w:rPr>
          <w:b w:val="0"/>
          <w:i/>
          <w:color w:val="6B7588"/>
          <w:sz w:val="18"/>
        </w:rPr>
        <w:t>Figure 9. The dashboard with no filters applied</w:t>
      </w:r>
    </w:p>
    <w:p>
      <w:pPr>
        <w:pStyle w:val="Heading1"/>
        <w:pageBreakBefore/>
      </w:pPr>
      <w:r>
        <w:t>9. Method and Limitations</w:t>
      </w:r>
    </w:p>
    <w:p>
      <w:pPr>
        <w:pStyle w:val="Heading2"/>
      </w:pPr>
      <w:r>
        <w:t>Method</w:t>
      </w:r>
    </w:p>
    <w:p>
      <w:pPr>
        <w:pStyle w:val="ListBullet"/>
      </w:pPr>
      <w:r>
        <w:rPr>
          <w:b/>
        </w:rPr>
        <w:t xml:space="preserve">Clean and prepare. </w:t>
      </w:r>
      <w:r>
        <w:rPr>
          <w:b w:val="0"/>
        </w:rPr>
        <w:t>Fixed data types, handled missing values and added the features described in section 2.</w:t>
      </w:r>
    </w:p>
    <w:p>
      <w:pPr>
        <w:pStyle w:val="ListBullet"/>
      </w:pPr>
      <w:r>
        <w:rPr>
          <w:b/>
        </w:rPr>
        <w:t xml:space="preserve">Explore. </w:t>
      </w:r>
      <w:r>
        <w:rPr>
          <w:b w:val="0"/>
        </w:rPr>
        <w:t>Measured churn rate and lost revenue across every customer attribute.</w:t>
      </w:r>
    </w:p>
    <w:p>
      <w:pPr>
        <w:pStyle w:val="ListBullet"/>
      </w:pPr>
      <w:r>
        <w:rPr>
          <w:b/>
        </w:rPr>
        <w:t xml:space="preserve">Segment. </w:t>
      </w:r>
      <w:r>
        <w:rPr>
          <w:b w:val="0"/>
        </w:rPr>
        <w:t>Grouped customers with simple, non-overlapping rules.</w:t>
      </w:r>
    </w:p>
    <w:p>
      <w:pPr>
        <w:pStyle w:val="ListBullet"/>
      </w:pPr>
      <w:r>
        <w:rPr>
          <w:b/>
        </w:rPr>
        <w:t xml:space="preserve">Predict. </w:t>
      </w:r>
      <w:r>
        <w:rPr>
          <w:b w:val="0"/>
        </w:rPr>
        <w:t>Compared logistic regression, random forest and gradient boosting on a 20% holdout, with balanced class weights.</w:t>
      </w:r>
    </w:p>
    <w:p>
      <w:pPr>
        <w:pStyle w:val="ListBullet"/>
      </w:pPr>
      <w:r>
        <w:rPr>
          <w:b/>
        </w:rPr>
        <w:t xml:space="preserve">Score. </w:t>
      </w:r>
      <w:r>
        <w:rPr>
          <w:b w:val="0"/>
        </w:rPr>
        <w:t>Risk scores are out-of-fold predictions from 5-fold cross-validation, so no customer is scored by a model trained on their own record.</w:t>
      </w:r>
    </w:p>
    <w:p>
      <w:pPr>
        <w:pStyle w:val="ListBullet"/>
      </w:pPr>
      <w:r>
        <w:rPr>
          <w:b/>
        </w:rPr>
        <w:t xml:space="preserve">Value. </w:t>
      </w:r>
      <w:r>
        <w:rPr>
          <w:b w:val="0"/>
        </w:rPr>
        <w:t>Ranked customers by risk and measured how many real leavers sat at the top of the list.</w:t>
      </w:r>
    </w:p>
    <w:p>
      <w:pPr>
        <w:pStyle w:val="Heading2"/>
      </w:pPr>
      <w:r>
        <w:t>Limitations</w:t>
      </w:r>
    </w:p>
    <w:p>
      <w:pPr>
        <w:pStyle w:val="ListBullet"/>
      </w:pPr>
      <w:r>
        <w:rPr>
          <w:b/>
        </w:rPr>
        <w:t xml:space="preserve">Sample data. </w:t>
      </w:r>
      <w:r>
        <w:rPr>
          <w:b w:val="0"/>
        </w:rPr>
        <w:t>This is the public IBM sample dataset, not a real client's data.</w:t>
      </w:r>
    </w:p>
    <w:p>
      <w:pPr>
        <w:pStyle w:val="ListBullet"/>
      </w:pPr>
      <w:r>
        <w:rPr>
          <w:b/>
        </w:rPr>
        <w:t xml:space="preserve">One snapshot. </w:t>
      </w:r>
      <w:r>
        <w:rPr>
          <w:b w:val="0"/>
        </w:rPr>
        <w:t>The data covers a single month of churn, so seasonal patterns and trends cannot be seen.</w:t>
      </w:r>
    </w:p>
    <w:p>
      <w:pPr>
        <w:pStyle w:val="ListBullet"/>
      </w:pPr>
      <w:r>
        <w:rPr>
          <w:b/>
        </w:rPr>
        <w:t xml:space="preserve">Association, not cause. </w:t>
      </w:r>
      <w:r>
        <w:rPr>
          <w:b w:val="0"/>
        </w:rPr>
        <w:t>The findings show which groups leave more often, not why.</w:t>
      </w:r>
    </w:p>
    <w:p>
      <w:pPr>
        <w:pStyle w:val="ListBullet"/>
      </w:pPr>
      <w:r>
        <w:rPr>
          <w:b/>
        </w:rPr>
        <w:t xml:space="preserve">No cost data. </w:t>
      </w:r>
      <w:r>
        <w:rPr>
          <w:b w:val="0"/>
        </w:rPr>
        <w:t>The cost of serving customers and of retention offers is not in the data, so figures are revenue, not profit.</w:t>
      </w:r>
    </w:p>
    <w:p>
      <w:pPr>
        <w:pStyle w:val="ListBullet"/>
      </w:pPr>
      <w:r>
        <w:rPr>
          <w:b/>
        </w:rPr>
        <w:t xml:space="preserve">No reasons for leaving. </w:t>
      </w:r>
      <w:r>
        <w:rPr>
          <w:b w:val="0"/>
        </w:rPr>
        <w:t>Complaints, service quality and competitor offers are not recorded.</w:t>
      </w:r>
    </w:p>
    <w:p>
      <w:pPr>
        <w:pStyle w:val="Heading2"/>
      </w:pPr>
      <w:r>
        <w:t>Tools</w:t>
      </w:r>
    </w:p>
    <w:p>
      <w:r>
        <w:rPr>
          <w:b w:val="0"/>
          <w:i w:val="0"/>
        </w:rPr>
        <w:t>Python (pandas, scikit-learn, Plotly), Chart.js, HTML, CSS and JavaScript.</w:t>
      </w:r>
    </w:p>
    <w:sectPr w:rsidR="00FC693F" w:rsidRPr="0006063C" w:rsidSect="00034616">
      <w:footerReference w:type="default" r:id="rId9"/>
      <w:pgSz w:w="11909" w:h="16834"/>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588"/>
        <w:sz w:val="17"/>
      </w:rPr>
      <w:t xml:space="preserve">Kuwala Analytics  |  Telecom Customer Churn and Retention Analysis  |  Page </w:t>
    </w:r>
    <w:r>
      <w:rPr>
        <w:color w:val="6B7588"/>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41C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Arial" w:eastAsiaTheme="majorEastAsia" w:hAnsiTheme="majorHAnsi" w:cstheme="majorBidi" w:ascii="Arial" w:hAnsi="Arial" w:eastAsia="Arial"/>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Arial" w:eastAsiaTheme="majorEastAsia" w:hAnsiTheme="majorHAnsi" w:cstheme="majorBidi" w:ascii="Arial" w:hAnsi="Arial" w:eastAsia="Arial"/>
      <w:b/>
      <w:bCs/>
      <w:color w:val="1421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Arial" w:eastAsiaTheme="majorEastAsia" w:hAnsiTheme="majorHAnsi" w:cstheme="majorBidi" w:ascii="Arial" w:hAnsi="Arial" w:eastAsia="Arial"/>
      <w:b/>
      <w:color w:val="142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