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微软雅黑" w:hAnsi="微软雅黑" w:cs="宋体"/>
          <w:color w:val="000000"/>
          <w:sz w:val="24"/>
          <w:szCs w:val="24"/>
        </w:rPr>
      </w:pPr>
      <w:r>
        <w:rPr>
          <w:rFonts w:hint="eastAsia" w:ascii="微软雅黑" w:hAnsi="微软雅黑" w:cs="宋体"/>
          <w:color w:val="000000"/>
          <w:sz w:val="24"/>
          <w:szCs w:val="24"/>
        </w:rPr>
        <w:t>当月防申请欺诈系统当月平均实际风险控制率为</w:t>
      </w: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{{avg_fengkong}}</w:t>
      </w:r>
      <w:r>
        <w:rPr>
          <w:rFonts w:hint="eastAsia" w:ascii="微软雅黑" w:hAnsi="微软雅黑" w:cs="宋体"/>
          <w:color w:val="000000"/>
          <w:sz w:val="24"/>
          <w:szCs w:val="24"/>
        </w:rPr>
        <w:t>，</w:t>
      </w: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{{bank_no}}</w:t>
      </w:r>
      <w:r>
        <w:rPr>
          <w:rFonts w:hint="eastAsia" w:ascii="微软雅黑" w:hAnsi="微软雅黑" w:cs="宋体"/>
          <w:color w:val="000000"/>
          <w:sz w:val="24"/>
          <w:szCs w:val="24"/>
        </w:rPr>
        <w:t>实际风险预警率为</w:t>
      </w: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{{yujing}}</w:t>
      </w:r>
      <w:r>
        <w:rPr>
          <w:rFonts w:hint="eastAsia" w:ascii="微软雅黑" w:hAnsi="微软雅黑" w:cs="宋体"/>
          <w:color w:val="000000"/>
          <w:sz w:val="24"/>
          <w:szCs w:val="24"/>
        </w:rPr>
        <w:t>,  较系统平均风险值差值为</w:t>
      </w: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{{chazhi}}</w:t>
      </w:r>
      <w:r>
        <w:rPr>
          <w:rFonts w:hint="eastAsia" w:ascii="微软雅黑" w:hAnsi="微软雅黑" w:cs="宋体"/>
          <w:color w:val="000000"/>
          <w:sz w:val="24"/>
          <w:szCs w:val="24"/>
        </w:rPr>
        <w:t>。系统提示风险占该月进件</w:t>
      </w: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{{xd_fengxian}}</w:t>
      </w:r>
      <w:r>
        <w:rPr>
          <w:rFonts w:hint="eastAsia" w:ascii="微软雅黑" w:hAnsi="微软雅黑" w:cs="宋体"/>
          <w:color w:val="000000"/>
          <w:sz w:val="24"/>
          <w:szCs w:val="24"/>
        </w:rPr>
        <w:t>，实际拒绝数量占当月进件</w:t>
      </w: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{{jujue}}</w:t>
      </w:r>
      <w:r>
        <w:rPr>
          <w:rFonts w:hint="eastAsia" w:ascii="微软雅黑" w:hAnsi="微软雅黑" w:cs="宋体"/>
          <w:color w:val="000000"/>
          <w:sz w:val="24"/>
          <w:szCs w:val="24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2632710"/>
            <wp:effectExtent l="0" t="0" r="254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7615" cy="3161665"/>
            <wp:effectExtent l="4445" t="4445" r="15240" b="1524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cs="Tahoma"/>
          <w:color w:val="000000"/>
          <w:sz w:val="24"/>
          <w:szCs w:val="24"/>
        </w:rPr>
      </w:pPr>
      <w:r>
        <w:rPr>
          <w:rFonts w:hint="eastAsia" w:ascii="微软雅黑" w:hAnsi="微软雅黑" w:cs="Tahoma"/>
          <w:color w:val="000000"/>
          <w:sz w:val="24"/>
          <w:szCs w:val="24"/>
        </w:rPr>
        <w:t>由上图可</w:t>
      </w:r>
      <w:r>
        <w:rPr>
          <w:rFonts w:hint="eastAsia" w:ascii="微软雅黑" w:hAnsi="微软雅黑" w:cs="Tahoma"/>
          <w:color w:val="000000"/>
          <w:sz w:val="24"/>
          <w:szCs w:val="24"/>
          <w:lang w:val="en-US" w:eastAsia="zh-CN"/>
        </w:rPr>
        <w:t>见本行在反欺诈系统中触碰规则</w:t>
      </w:r>
      <w:bookmarkStart w:id="0" w:name="_GoBack"/>
      <w:bookmarkEnd w:id="0"/>
      <w:r>
        <w:rPr>
          <w:rFonts w:hint="eastAsia" w:ascii="微软雅黑" w:hAnsi="微软雅黑" w:cs="Tahoma"/>
          <w:color w:val="000000"/>
          <w:sz w:val="24"/>
          <w:szCs w:val="24"/>
          <w:lang w:val="en-US" w:eastAsia="zh-CN"/>
        </w:rPr>
        <w:t>情况，</w:t>
      </w:r>
      <w:r>
        <w:rPr>
          <w:rFonts w:hint="eastAsia" w:ascii="微软雅黑" w:hAnsi="微软雅黑" w:cs="宋体"/>
          <w:color w:val="000000"/>
          <w:sz w:val="24"/>
          <w:szCs w:val="24"/>
          <w:lang w:val="en-US" w:eastAsia="zh-CN"/>
        </w:rPr>
        <w:t>{{re}}</w:t>
      </w:r>
      <w:r>
        <w:rPr>
          <w:rFonts w:hint="eastAsia" w:ascii="微软雅黑" w:hAnsi="微软雅黑" w:cs="Tahoma"/>
          <w:color w:val="000000"/>
          <w:sz w:val="24"/>
          <w:szCs w:val="24"/>
          <w:lang w:val="en-US" w:eastAsia="zh-CN"/>
        </w:rPr>
        <w:t>建议行内着重关注以上业务点，如有需要可对以上规则做深度分析。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17AB"/>
    <w:multiLevelType w:val="multilevel"/>
    <w:tmpl w:val="0C6E17AB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E1143"/>
    <w:rsid w:val="02F456CE"/>
    <w:rsid w:val="10960DD9"/>
    <w:rsid w:val="111C108B"/>
    <w:rsid w:val="16AA513F"/>
    <w:rsid w:val="17611CEB"/>
    <w:rsid w:val="1D157F6C"/>
    <w:rsid w:val="205C1655"/>
    <w:rsid w:val="23010FA8"/>
    <w:rsid w:val="2331320E"/>
    <w:rsid w:val="2670099D"/>
    <w:rsid w:val="37450D13"/>
    <w:rsid w:val="3C85717B"/>
    <w:rsid w:val="43A37A87"/>
    <w:rsid w:val="44AE2977"/>
    <w:rsid w:val="49756728"/>
    <w:rsid w:val="548C79CD"/>
    <w:rsid w:val="59047E73"/>
    <w:rsid w:val="61AB002D"/>
    <w:rsid w:val="620109DA"/>
    <w:rsid w:val="65D80F2E"/>
    <w:rsid w:val="67F72474"/>
    <w:rsid w:val="6A637FD0"/>
    <w:rsid w:val="6DF81F98"/>
    <w:rsid w:val="7EC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SUS\Desktop\&#26032;&#24314;%20XLS%20&#24037;&#20316;&#3492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我是修改后的标题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通过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审批结果</c:v>
                </c:pt>
                <c:pt idx="1">
                  <c:v>防申请欺诈结果</c:v>
                </c:pt>
                <c:pt idx="2">
                  <c:v>决策一致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1290</c:v>
                </c:pt>
                <c:pt idx="1">
                  <c:v>1834</c:v>
                </c:pt>
                <c:pt idx="2">
                  <c:v>1222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拒绝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审批结果</c:v>
                </c:pt>
                <c:pt idx="1">
                  <c:v>防申请欺诈结果</c:v>
                </c:pt>
                <c:pt idx="2">
                  <c:v>决策一致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657</c:v>
                </c:pt>
                <c:pt idx="1">
                  <c:v>113</c:v>
                </c:pt>
                <c:pt idx="2">
                  <c:v>45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679616538"/>
        <c:axId val="318212467"/>
      </c:barChart>
      <c:catAx>
        <c:axId val="67961653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8212467"/>
        <c:crosses val="autoZero"/>
        <c:auto val="1"/>
        <c:lblAlgn val="ctr"/>
        <c:lblOffset val="100"/>
        <c:noMultiLvlLbl val="0"/>
      </c:catAx>
      <c:valAx>
        <c:axId val="3182124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961653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行内规则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496527777777778"/>
          <c:y val="0.162037037037037"/>
          <c:w val="0.397222222222222"/>
          <c:h val="0.66203703703703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COUNT_RM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多申请人共用同一住宅地址：多申请人的住宅地址相似 数量_4个或以上</c:v>
                </c:pt>
                <c:pt idx="1">
                  <c:v>人行单位名称不一致：申请人单位名称与人行历次单位名称均不一致</c:v>
                </c:pt>
                <c:pt idx="2">
                  <c:v>地址信息存疑：申请人住宅地址详址与公司地址详址相似</c:v>
                </c:pt>
                <c:pt idx="3">
                  <c:v>多申请人公司名称信息可疑：多申请人单位地址相似，单位名称不同 数量_4个或以上</c:v>
                </c:pt>
                <c:pt idx="4">
                  <c:v>公司电话存疑：申请人公司电话为移动电话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71857</c:v>
                </c:pt>
                <c:pt idx="1">
                  <c:v>27126</c:v>
                </c:pt>
                <c:pt idx="2">
                  <c:v>25995</c:v>
                </c:pt>
                <c:pt idx="3">
                  <c:v>18625</c:v>
                </c:pt>
                <c:pt idx="4">
                  <c:v>18297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58548245062272"/>
          <c:y val="0.137176139787106"/>
          <c:w val="0.526481318404831"/>
          <c:h val="0.83791926089576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2021-04-07T02:37:28Z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