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2736215"/>
            <wp:effectExtent l="5080" t="4445" r="18415" b="21590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A2839"/>
    <w:rsid w:val="0D8D15A3"/>
    <w:rsid w:val="111C108B"/>
    <w:rsid w:val="130F2882"/>
    <w:rsid w:val="1D157F6C"/>
    <w:rsid w:val="215259B5"/>
    <w:rsid w:val="49756728"/>
    <w:rsid w:val="4C182BEC"/>
    <w:rsid w:val="548C79CD"/>
    <w:rsid w:val="59047E73"/>
    <w:rsid w:val="5D022664"/>
    <w:rsid w:val="67F72474"/>
    <w:rsid w:val="6FBF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E:\work\&#38134;&#25968;&#21453;&#27450;&#35784;\&#26376;&#25253;\2020&#26376;&#25253;\2020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欺诈监控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679616538"/>
        <c:axId val="318212467"/>
      </c:barChart>
      <c:catAx>
        <c:axId val="67961653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8212467"/>
        <c:crosses val="autoZero"/>
        <c:auto val="1"/>
        <c:lblAlgn val="ctr"/>
        <c:lblOffset val="100"/>
        <c:noMultiLvlLbl val="0"/>
      </c:catAx>
      <c:valAx>
        <c:axId val="3182124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961653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="1"/>
              <a:t>行内规则</a:t>
            </a:r>
            <a:endParaRPr lang="zh-CN" altLang="en-US" b="1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0832219836156844"/>
          <c:y val="0.211283880777039"/>
          <c:w val="0.394971963731806"/>
          <c:h val="0.67490354967765"/>
        </c:manualLayout>
      </c:layout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饼图1!$D$2:$E$6</c:f>
              <c:multiLvlStrCache>
                <c:ptCount val="5"/>
                <c:lvl>
                  <c:pt idx="0">
                    <c:v>G</c:v>
                  </c:pt>
                  <c:pt idx="1">
                    <c:v>F</c:v>
                  </c:pt>
                  <c:pt idx="2">
                    <c:v>G</c:v>
                  </c:pt>
                  <c:pt idx="3">
                    <c:v>G</c:v>
                  </c:pt>
                  <c:pt idx="4">
                    <c:v>F</c:v>
                  </c:pt>
                </c:lvl>
                <c:lvl>
                  <c:pt idx="0">
                    <c:v>多申请人共用同一住宅地址：多申请人的住宅地址相似 数量_4个或以上</c:v>
                  </c:pt>
                  <c:pt idx="1">
                    <c:v>人行单位名称不一致：申请人单位名称与人行历次单位名称均不一致</c:v>
                  </c:pt>
                  <c:pt idx="2">
                    <c:v>地址信息存疑：申请人住宅地址详址与公司地址详址相似</c:v>
                  </c:pt>
                  <c:pt idx="3">
                    <c:v>多申请人公司名称信息可疑：多申请人单位地址相似，单位名称不同 数量_4个或以上</c:v>
                  </c:pt>
                  <c:pt idx="4">
                    <c:v>公司电话存疑：申请人公司电话为移动电话</c:v>
                  </c:pt>
                </c:lvl>
              </c:multiLvlStrCache>
            </c:multiLvlStrRef>
          </c:cat>
          <c:val>
            <c:numRef>
              <c:f>饼图1!$F$2:$F$6</c:f>
              <c:numCache>
                <c:formatCode>General</c:formatCode>
                <c:ptCount val="5"/>
                <c:pt idx="0">
                  <c:v>71857</c:v>
                </c:pt>
                <c:pt idx="1">
                  <c:v>27126</c:v>
                </c:pt>
                <c:pt idx="2">
                  <c:v>25995</c:v>
                </c:pt>
                <c:pt idx="3">
                  <c:v>18625</c:v>
                </c:pt>
                <c:pt idx="4">
                  <c:v>18297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11164399904557"/>
          <c:y val="0.132518226888306"/>
          <c:w val="0.572115445796548"/>
          <c:h val="0.8264444614326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2021-03-29T09:05:50Z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