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B17E3B" w14:textId="46ED482C" w:rsidR="00F26FA7" w:rsidRDefault="00BD35D9" w:rsidP="00BD35D9">
      <w:pPr>
        <w:pStyle w:val="a3"/>
      </w:pPr>
      <w:r>
        <w:rPr>
          <w:rFonts w:hint="eastAsia"/>
        </w:rPr>
        <w:t>跟其他论文平台比较</w:t>
      </w:r>
    </w:p>
    <w:p w14:paraId="6A4167C7" w14:textId="39F0E3CB" w:rsidR="00BD35D9" w:rsidRDefault="00BD35D9" w:rsidP="00BD35D9">
      <w:pPr>
        <w:pStyle w:val="1"/>
      </w:pPr>
      <w:r w:rsidRPr="00BD35D9">
        <w:t>CISP / Candidate A</w:t>
      </w:r>
    </w:p>
    <w:p w14:paraId="16A4F142" w14:textId="2A96DB9F" w:rsidR="00BD35D9" w:rsidRDefault="00BD35D9" w:rsidP="00BD35D9">
      <w:r w:rsidRPr="00BD35D9">
        <w:t xml:space="preserve">CISP 是 512-bit、五个并行 FU 的研究原型；六个应用为 Reed-Solomon、H.264、Ygx2、Susan、LUCAS、MPEG2；纵向压缩删除 NOP、用 </w:t>
      </w:r>
      <w:proofErr w:type="spellStart"/>
      <w:r w:rsidRPr="00BD35D9">
        <w:t>ifnull</w:t>
      </w:r>
      <w:proofErr w:type="spellEnd"/>
      <w:r w:rsidRPr="00BD35D9">
        <w:t>[h][w] 标记有效槽、每槽独立 bank/FPCR/BAR，并在 65 nm 下用 Design Compiler 综合。</w:t>
      </w:r>
    </w:p>
    <w:p w14:paraId="45DBEBDE" w14:textId="40EA5518" w:rsidR="00BD35D9" w:rsidRDefault="00BD35D9" w:rsidP="00BD35D9">
      <w:r w:rsidRPr="00BD35D9">
        <w:t xml:space="preserve">截至 2026-09-10，无法从公开入口直接取得 CISP 的 RTL、mapper 或六应用逐周期 trace；能取得的是完整论文及汇总统计。因此 CISP 可以继续作为 Candidate A 的方法学 baseline，但不能作为本论文新增 E2 实验平台。若必须做同 trace 对比，下一步只能联系论文通信作者 </w:t>
      </w:r>
      <w:proofErr w:type="spellStart"/>
      <w:r w:rsidRPr="00BD35D9">
        <w:t>Gongli</w:t>
      </w:r>
      <w:proofErr w:type="spellEnd"/>
      <w:r w:rsidRPr="00BD35D9">
        <w:t xml:space="preserve"> Li（论文列出的邮箱 ligl522@163.com）索取匿名化 VLIW trace、每槽宽度和 kernel 边界。</w:t>
      </w:r>
    </w:p>
    <w:p w14:paraId="1B54DF9D" w14:textId="09046D83" w:rsidR="00335174" w:rsidRDefault="00BD35D9" w:rsidP="00335174">
      <w:pPr>
        <w:pStyle w:val="1"/>
        <w:rPr>
          <w:rFonts w:hint="eastAsia"/>
        </w:rPr>
      </w:pPr>
      <w:proofErr w:type="spellStart"/>
      <w:r w:rsidRPr="00BD35D9">
        <w:t>OpenEdgeCGRA</w:t>
      </w:r>
      <w:proofErr w:type="spellEnd"/>
      <w:r w:rsidRPr="00BD35D9">
        <w:t>：保留 N=4 后的真实结果</w:t>
      </w:r>
    </w:p>
    <w:p w14:paraId="657CD822" w14:textId="77777777" w:rsidR="00335174" w:rsidRPr="00335174" w:rsidRDefault="00335174" w:rsidP="00335174">
      <w:r w:rsidRPr="00335174">
        <w:rPr>
          <w:b/>
          <w:bCs/>
        </w:rPr>
        <w:t>CGRA</w:t>
      </w:r>
      <w:r w:rsidRPr="00335174">
        <w:t xml:space="preserve"> 是 </w:t>
      </w:r>
      <w:r w:rsidRPr="00335174">
        <w:rPr>
          <w:b/>
          <w:bCs/>
        </w:rPr>
        <w:t>Coarse-Grained Reconfigurable Array（粗粒度可重构阵列）</w:t>
      </w:r>
      <w:r w:rsidRPr="00335174">
        <w:t xml:space="preserve">：由多个可编程处理单元（PE）、片上存储和可配置互连组成的计算架构。 </w:t>
      </w:r>
    </w:p>
    <w:p w14:paraId="017C744F" w14:textId="77777777" w:rsidR="00335174" w:rsidRPr="00335174" w:rsidRDefault="00335174" w:rsidP="00335174">
      <w:r w:rsidRPr="00335174">
        <w:t>简单理解：</w:t>
      </w:r>
    </w:p>
    <w:p w14:paraId="5CCB86AA" w14:textId="77777777" w:rsidR="00335174" w:rsidRPr="00335174" w:rsidRDefault="00335174" w:rsidP="00335174">
      <w:pPr>
        <w:numPr>
          <w:ilvl w:val="0"/>
          <w:numId w:val="2"/>
        </w:numPr>
      </w:pPr>
      <w:r w:rsidRPr="00335174">
        <w:rPr>
          <w:b/>
          <w:bCs/>
        </w:rPr>
        <w:t>CGRA</w:t>
      </w:r>
      <w:r w:rsidRPr="00335174">
        <w:t xml:space="preserve">：以加法器、乘法器、ALU、寄存器、存储单元等“较粗”的计算模块为粒度配置。典型 PE 包含 ALU/FPU、寄存器文件、指令存储和控制单元。 </w:t>
      </w:r>
    </w:p>
    <w:p w14:paraId="06FA06F5" w14:textId="77777777" w:rsidR="00335174" w:rsidRPr="00335174" w:rsidRDefault="00335174" w:rsidP="00335174">
      <w:r w:rsidRPr="00335174">
        <w:t>工作流程通常是：</w:t>
      </w:r>
    </w:p>
    <w:p w14:paraId="40E9A30B" w14:textId="77777777" w:rsidR="00335174" w:rsidRPr="00335174" w:rsidRDefault="00335174" w:rsidP="00335174">
      <w:r w:rsidRPr="00335174">
        <w:t xml:space="preserve">编译器需要决定每个操作在哪个 PE、什么时间执行，以及数据如何通过互连传输。 </w:t>
      </w:r>
    </w:p>
    <w:p w14:paraId="5E20C61E" w14:textId="77777777" w:rsidR="00335174" w:rsidRPr="00335174" w:rsidRDefault="00335174" w:rsidP="00335174">
      <w:r w:rsidRPr="00335174">
        <w:rPr>
          <w:b/>
          <w:bCs/>
        </w:rPr>
        <w:t>优势</w:t>
      </w:r>
    </w:p>
    <w:p w14:paraId="2A5D6708" w14:textId="77777777" w:rsidR="00335174" w:rsidRPr="00335174" w:rsidRDefault="00335174" w:rsidP="00335174">
      <w:pPr>
        <w:numPr>
          <w:ilvl w:val="0"/>
          <w:numId w:val="3"/>
        </w:numPr>
      </w:pPr>
      <w:r w:rsidRPr="00335174">
        <w:t xml:space="preserve">通过空间映射减少数据搬运，能效通常较高。 </w:t>
      </w:r>
    </w:p>
    <w:p w14:paraId="5C467A97" w14:textId="77777777" w:rsidR="00335174" w:rsidRPr="00335174" w:rsidRDefault="00335174" w:rsidP="00335174">
      <w:pPr>
        <w:numPr>
          <w:ilvl w:val="0"/>
          <w:numId w:val="3"/>
        </w:numPr>
      </w:pPr>
      <w:r w:rsidRPr="00335174">
        <w:t xml:space="preserve">保留一定可编程性，适合循环、FFT、矩阵/向量运算、图像处理和 AI 推理。 </w:t>
      </w:r>
    </w:p>
    <w:p w14:paraId="16D9E726" w14:textId="77777777" w:rsidR="00335174" w:rsidRPr="00335174" w:rsidRDefault="00335174" w:rsidP="00335174">
      <w:r w:rsidRPr="00335174">
        <w:rPr>
          <w:b/>
          <w:bCs/>
        </w:rPr>
        <w:t>主要缺点</w:t>
      </w:r>
    </w:p>
    <w:p w14:paraId="40854CAF" w14:textId="77777777" w:rsidR="00335174" w:rsidRPr="00335174" w:rsidRDefault="00335174" w:rsidP="00335174">
      <w:pPr>
        <w:numPr>
          <w:ilvl w:val="0"/>
          <w:numId w:val="4"/>
        </w:numPr>
      </w:pPr>
      <w:r w:rsidRPr="00335174">
        <w:t>编译、映射和路由非常复杂。</w:t>
      </w:r>
    </w:p>
    <w:p w14:paraId="54DBB209" w14:textId="77777777" w:rsidR="00335174" w:rsidRPr="00335174" w:rsidRDefault="00335174" w:rsidP="00335174">
      <w:pPr>
        <w:numPr>
          <w:ilvl w:val="0"/>
          <w:numId w:val="4"/>
        </w:numPr>
      </w:pPr>
      <w:r w:rsidRPr="00335174">
        <w:lastRenderedPageBreak/>
        <w:t xml:space="preserve">不规则任务可能导致部分 PE 闲置、利用率较低。 </w:t>
      </w:r>
    </w:p>
    <w:p w14:paraId="5836F03C" w14:textId="09E9F989" w:rsidR="00335174" w:rsidRPr="00335174" w:rsidRDefault="00335174" w:rsidP="00335174">
      <w:pPr>
        <w:rPr>
          <w:rFonts w:hint="eastAsia"/>
        </w:rPr>
      </w:pPr>
      <w:r w:rsidRPr="00335174">
        <w:t>一句话概括：</w:t>
      </w:r>
      <w:r w:rsidRPr="00335174">
        <w:rPr>
          <w:b/>
          <w:bCs/>
        </w:rPr>
        <w:t>CGRA 是介于 GPU/专用加速器与 FPGA 之间，强调“可重构数据流 + 高能效”的并行计算架构。</w:t>
      </w:r>
    </w:p>
    <w:p w14:paraId="124DEA05" w14:textId="77777777" w:rsidR="00335174" w:rsidRPr="00335174" w:rsidRDefault="00335174" w:rsidP="00335174">
      <w:pPr>
        <w:rPr>
          <w:rFonts w:hint="eastAsia"/>
        </w:rPr>
      </w:pPr>
    </w:p>
    <w:p w14:paraId="74DAB1C6" w14:textId="3E85F88F" w:rsidR="000C222C" w:rsidRPr="000C222C" w:rsidRDefault="000C222C" w:rsidP="000C222C">
      <w:pPr>
        <w:widowControl/>
        <w:spacing w:before="75" w:after="75" w:line="240" w:lineRule="auto"/>
        <w:rPr>
          <w:rFonts w:ascii="Segoe UI" w:eastAsia="宋体" w:hAnsi="Segoe UI" w:cs="Segoe UI"/>
          <w:color w:val="182230"/>
          <w:kern w:val="0"/>
          <w:sz w:val="23"/>
          <w:szCs w:val="23"/>
          <w14:ligatures w14:val="none"/>
        </w:rPr>
      </w:pPr>
      <w:r w:rsidRPr="000C222C">
        <w:rPr>
          <w:rFonts w:ascii="Segoe UI" w:eastAsia="宋体" w:hAnsi="Segoe UI" w:cs="Segoe UI"/>
          <w:color w:val="182230"/>
          <w:kern w:val="0"/>
          <w:sz w:val="23"/>
          <w:szCs w:val="23"/>
          <w14:ligatures w14:val="none"/>
        </w:rPr>
        <w:t>EPFL ESL, </w:t>
      </w:r>
      <w:proofErr w:type="spellStart"/>
      <w:r w:rsidRPr="000C222C">
        <w:rPr>
          <w:rFonts w:ascii="Segoe UI" w:eastAsia="宋体" w:hAnsi="Segoe UI" w:cs="Segoe UI"/>
          <w:color w:val="182230"/>
          <w:kern w:val="0"/>
          <w:sz w:val="23"/>
          <w:szCs w:val="23"/>
          <w14:ligatures w14:val="none"/>
        </w:rPr>
        <w:fldChar w:fldCharType="begin"/>
      </w:r>
      <w:r w:rsidRPr="000C222C">
        <w:rPr>
          <w:rFonts w:ascii="Segoe UI" w:eastAsia="宋体" w:hAnsi="Segoe UI" w:cs="Segoe UI"/>
          <w:color w:val="182230"/>
          <w:kern w:val="0"/>
          <w:sz w:val="23"/>
          <w:szCs w:val="23"/>
          <w14:ligatures w14:val="none"/>
        </w:rPr>
        <w:instrText>HYPERLINK "https://github.com/esl-epfl/OpenEdgeCGRA"</w:instrText>
      </w:r>
      <w:r w:rsidRPr="000C222C">
        <w:rPr>
          <w:rFonts w:ascii="Segoe UI" w:eastAsia="宋体" w:hAnsi="Segoe UI" w:cs="Segoe UI"/>
          <w:color w:val="182230"/>
          <w:kern w:val="0"/>
          <w:sz w:val="23"/>
          <w:szCs w:val="23"/>
          <w14:ligatures w14:val="none"/>
        </w:rPr>
      </w:r>
      <w:r w:rsidRPr="000C222C">
        <w:rPr>
          <w:rFonts w:ascii="Segoe UI" w:eastAsia="宋体" w:hAnsi="Segoe UI" w:cs="Segoe UI"/>
          <w:color w:val="182230"/>
          <w:kern w:val="0"/>
          <w:sz w:val="23"/>
          <w:szCs w:val="23"/>
          <w14:ligatures w14:val="none"/>
        </w:rPr>
        <w:fldChar w:fldCharType="separate"/>
      </w:r>
      <w:r w:rsidRPr="000C222C">
        <w:rPr>
          <w:rFonts w:ascii="Segoe UI" w:eastAsia="宋体" w:hAnsi="Segoe UI" w:cs="Segoe UI"/>
          <w:color w:val="175CD3"/>
          <w:kern w:val="0"/>
          <w:sz w:val="23"/>
          <w:szCs w:val="23"/>
          <w14:ligatures w14:val="none"/>
        </w:rPr>
        <w:t>OpenEdgeCGRA</w:t>
      </w:r>
      <w:proofErr w:type="spellEnd"/>
      <w:r w:rsidRPr="000C222C">
        <w:rPr>
          <w:rFonts w:ascii="Segoe UI" w:eastAsia="宋体" w:hAnsi="Segoe UI" w:cs="Segoe UI"/>
          <w:color w:val="175CD3"/>
          <w:kern w:val="0"/>
          <w:sz w:val="23"/>
          <w:szCs w:val="23"/>
          <w14:ligatures w14:val="none"/>
        </w:rPr>
        <w:t xml:space="preserve"> </w:t>
      </w:r>
      <w:r w:rsidRPr="000C222C">
        <w:rPr>
          <w:rFonts w:ascii="Segoe UI" w:eastAsia="宋体" w:hAnsi="Segoe UI" w:cs="Segoe UI"/>
          <w:color w:val="175CD3"/>
          <w:kern w:val="0"/>
          <w:sz w:val="23"/>
          <w:szCs w:val="23"/>
          <w14:ligatures w14:val="none"/>
        </w:rPr>
        <w:t>公开</w:t>
      </w:r>
      <w:r w:rsidRPr="000C222C">
        <w:rPr>
          <w:rFonts w:ascii="Segoe UI" w:eastAsia="宋体" w:hAnsi="Segoe UI" w:cs="Segoe UI"/>
          <w:color w:val="175CD3"/>
          <w:kern w:val="0"/>
          <w:sz w:val="23"/>
          <w:szCs w:val="23"/>
          <w14:ligatures w14:val="none"/>
        </w:rPr>
        <w:t xml:space="preserve"> RTL</w:t>
      </w:r>
      <w:r w:rsidRPr="000C222C">
        <w:rPr>
          <w:rFonts w:ascii="Segoe UI" w:eastAsia="宋体" w:hAnsi="Segoe UI" w:cs="Segoe UI"/>
          <w:color w:val="175CD3"/>
          <w:kern w:val="0"/>
          <w:sz w:val="23"/>
          <w:szCs w:val="23"/>
          <w14:ligatures w14:val="none"/>
        </w:rPr>
        <w:t>、</w:t>
      </w:r>
      <w:r w:rsidRPr="000C222C">
        <w:rPr>
          <w:rFonts w:ascii="Segoe UI" w:eastAsia="宋体" w:hAnsi="Segoe UI" w:cs="Segoe UI"/>
          <w:color w:val="175CD3"/>
          <w:kern w:val="0"/>
          <w:sz w:val="23"/>
          <w:szCs w:val="23"/>
          <w14:ligatures w14:val="none"/>
        </w:rPr>
        <w:t xml:space="preserve">ISA </w:t>
      </w:r>
      <w:r w:rsidRPr="000C222C">
        <w:rPr>
          <w:rFonts w:ascii="Segoe UI" w:eastAsia="宋体" w:hAnsi="Segoe UI" w:cs="Segoe UI"/>
          <w:color w:val="175CD3"/>
          <w:kern w:val="0"/>
          <w:sz w:val="23"/>
          <w:szCs w:val="23"/>
          <w14:ligatures w14:val="none"/>
        </w:rPr>
        <w:t>与映射</w:t>
      </w:r>
      <w:r w:rsidRPr="000C222C">
        <w:rPr>
          <w:rFonts w:ascii="Segoe UI" w:eastAsia="宋体" w:hAnsi="Segoe UI" w:cs="Segoe UI"/>
          <w:color w:val="182230"/>
          <w:kern w:val="0"/>
          <w:sz w:val="23"/>
          <w:szCs w:val="23"/>
          <w14:ligatures w14:val="none"/>
        </w:rPr>
        <w:fldChar w:fldCharType="end"/>
      </w:r>
      <w:r w:rsidRPr="000C222C">
        <w:rPr>
          <w:rFonts w:ascii="Segoe UI" w:eastAsia="宋体" w:hAnsi="Segoe UI" w:cs="Segoe UI"/>
          <w:color w:val="182230"/>
          <w:kern w:val="0"/>
          <w:sz w:val="23"/>
          <w:szCs w:val="23"/>
          <w14:ligatures w14:val="none"/>
        </w:rPr>
        <w:t>；论文</w:t>
      </w:r>
      <w:r w:rsidRPr="000C222C">
        <w:rPr>
          <w:rFonts w:ascii="Segoe UI" w:eastAsia="宋体" w:hAnsi="Segoe UI" w:cs="Segoe UI"/>
          <w:color w:val="182230"/>
          <w:kern w:val="0"/>
          <w:sz w:val="23"/>
          <w:szCs w:val="23"/>
          <w14:ligatures w14:val="none"/>
        </w:rPr>
        <w:t>DOI </w:t>
      </w:r>
      <w:hyperlink r:id="rId5" w:history="1">
        <w:r w:rsidRPr="000C222C">
          <w:rPr>
            <w:rFonts w:ascii="Segoe UI" w:eastAsia="宋体" w:hAnsi="Segoe UI" w:cs="Segoe UI"/>
            <w:color w:val="175CD3"/>
            <w:kern w:val="0"/>
            <w:sz w:val="23"/>
            <w:szCs w:val="23"/>
            <w14:ligatures w14:val="none"/>
          </w:rPr>
          <w:t>10.1145/3587135.3591437</w:t>
        </w:r>
      </w:hyperlink>
      <w:r w:rsidRPr="000C222C">
        <w:rPr>
          <w:rFonts w:ascii="Segoe UI" w:eastAsia="宋体" w:hAnsi="Segoe UI" w:cs="Segoe UI"/>
          <w:color w:val="182230"/>
          <w:kern w:val="0"/>
          <w:sz w:val="23"/>
          <w:szCs w:val="23"/>
          <w14:ligatures w14:val="none"/>
        </w:rPr>
        <w:t>。</w:t>
      </w:r>
    </w:p>
    <w:p w14:paraId="6E0F9CF0" w14:textId="77777777" w:rsidR="000C222C" w:rsidRPr="000C222C" w:rsidRDefault="000C222C" w:rsidP="000C222C">
      <w:pPr>
        <w:rPr>
          <w:rFonts w:hint="eastAsia"/>
        </w:rPr>
      </w:pPr>
    </w:p>
    <w:p w14:paraId="4CE5E267" w14:textId="68A2C95F" w:rsidR="00BD35D9" w:rsidRDefault="00BD35D9" w:rsidP="00BD35D9">
      <w:pPr>
        <w:pStyle w:val="2"/>
      </w:pPr>
      <w:r>
        <w:t>主口径：7 个应用 kernel 同时常驻</w:t>
      </w:r>
    </w:p>
    <w:p w14:paraId="03D88C9D" w14:textId="66031359" w:rsidR="00BD35D9" w:rsidRDefault="00BD35D9" w:rsidP="00BD35D9">
      <w:r>
        <w:t xml:space="preserve">包含 </w:t>
      </w:r>
      <w:proofErr w:type="spellStart"/>
      <w:r>
        <w:t>dbl_max</w:t>
      </w:r>
      <w:proofErr w:type="spellEnd"/>
      <w:r>
        <w:t>、</w:t>
      </w:r>
      <w:proofErr w:type="spellStart"/>
      <w:r>
        <w:t>dbl_min</w:t>
      </w:r>
      <w:proofErr w:type="spellEnd"/>
      <w:r>
        <w:t>、</w:t>
      </w:r>
      <w:proofErr w:type="spellStart"/>
      <w:r>
        <w:t>fft_bitrev</w:t>
      </w:r>
      <w:proofErr w:type="spellEnd"/>
      <w:r>
        <w:t>、</w:t>
      </w:r>
      <w:proofErr w:type="spellStart"/>
      <w:r>
        <w:t>fft_cplx</w:t>
      </w:r>
      <w:proofErr w:type="spellEnd"/>
      <w:r>
        <w:t>、</w:t>
      </w:r>
      <w:proofErr w:type="spellStart"/>
      <w:r>
        <w:t>fft_cplx_forever</w:t>
      </w:r>
      <w:proofErr w:type="spellEnd"/>
      <w:r>
        <w:t>、</w:t>
      </w:r>
      <w:proofErr w:type="spellStart"/>
      <w:r>
        <w:t>max_peak</w:t>
      </w:r>
      <w:proofErr w:type="spellEnd"/>
      <w:r>
        <w:t>、</w:t>
      </w:r>
      <w:proofErr w:type="spellStart"/>
      <w:r>
        <w:t>min_max_circular</w:t>
      </w:r>
      <w:proofErr w:type="spellEnd"/>
      <w:r>
        <w:t>；合计 118 个 context 地址、293 个有效 row 字，平均 2.483/4，24 拍四槽全开。118 行能直接放进原平台的 128 深 bank。</w:t>
      </w:r>
      <w:r w:rsidR="00435F7B">
        <w:rPr>
          <w:rFonts w:hint="eastAsia"/>
        </w:rPr>
        <w:t>所以我的方案没有收益。</w:t>
      </w:r>
    </w:p>
    <w:p w14:paraId="20473FD5" w14:textId="77777777" w:rsidR="00BD35D9" w:rsidRDefault="00BD35D9" w:rsidP="00BD35D9">
      <w:pPr>
        <w:pStyle w:val="2"/>
      </w:pPr>
      <w:r>
        <w:t>压力口径：仓库全部 12 个公开映射同时放入</w:t>
      </w:r>
    </w:p>
    <w:p w14:paraId="49043E3F" w14:textId="68688D8B" w:rsidR="00BD35D9" w:rsidRDefault="00BD35D9" w:rsidP="00BD35D9">
      <w:r>
        <w:t xml:space="preserve">此口径再加入 </w:t>
      </w:r>
      <w:proofErr w:type="spellStart"/>
      <w:r>
        <w:t>check_size</w:t>
      </w:r>
      <w:proofErr w:type="spellEnd"/>
      <w:r>
        <w:t>、</w:t>
      </w:r>
      <w:proofErr w:type="spellStart"/>
      <w:r>
        <w:t>func_test</w:t>
      </w:r>
      <w:proofErr w:type="spellEnd"/>
      <w:r>
        <w:t xml:space="preserve"> 和三个 while-loop 利用率测试，共 348 地址、1,020 个有效 row 字。它超过原 128 深物理 context memory，所以代表“把平台扩到可同时放下全部公开映射”的设计实验，不是原芯片现成容量；且 203/348 拍四槽全开，明显受测试程序支配。</w:t>
      </w:r>
    </w:p>
    <w:p w14:paraId="4BD95EC6" w14:textId="34FCAE61" w:rsidR="00BD35D9" w:rsidRDefault="00BD35D9" w:rsidP="00BD35D9">
      <w:r w:rsidRPr="00BD35D9">
        <w:drawing>
          <wp:inline distT="0" distB="0" distL="0" distR="0" wp14:anchorId="5CBA8D16" wp14:editId="0C7AF562">
            <wp:extent cx="5274310" cy="2210435"/>
            <wp:effectExtent l="0" t="0" r="0" b="0"/>
            <wp:docPr id="689916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16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7A03" w14:textId="77777777" w:rsidR="00BD35D9" w:rsidRDefault="00BD35D9" w:rsidP="00BD35D9">
      <w:pPr>
        <w:pStyle w:val="2"/>
      </w:pPr>
      <w:r>
        <w:t>新发现：2-bit 初始 phase 为什么重要</w:t>
      </w:r>
    </w:p>
    <w:p w14:paraId="2F3EBFE6" w14:textId="77777777" w:rsidR="00BD35D9" w:rsidRDefault="00BD35D9" w:rsidP="00BD35D9">
      <w:r>
        <w:t>当前 </w:t>
      </w:r>
      <w:r>
        <w:rPr>
          <w:rStyle w:val="HTML"/>
          <w:color w:val="172033"/>
          <w:shd w:val="clear" w:color="auto" w:fill="EEF2F7"/>
        </w:rPr>
        <w:t>exp2_adaptive_4slot_top.v</w:t>
      </w:r>
      <w:r>
        <w:t> 在每次 </w:t>
      </w:r>
      <w:r>
        <w:rPr>
          <w:rStyle w:val="HTML"/>
          <w:color w:val="172033"/>
          <w:shd w:val="clear" w:color="auto" w:fill="EEF2F7"/>
        </w:rPr>
        <w:t>start</w:t>
      </w:r>
      <w:r>
        <w:t> 时把 </w:t>
      </w:r>
      <w:proofErr w:type="spellStart"/>
      <w:r>
        <w:rPr>
          <w:rStyle w:val="HTML"/>
          <w:color w:val="172033"/>
          <w:shd w:val="clear" w:color="auto" w:fill="EEF2F7"/>
        </w:rPr>
        <w:t>phase_q</w:t>
      </w:r>
      <w:proofErr w:type="spellEnd"/>
      <w:r>
        <w:t xml:space="preserve"> 清零。小程序很多时，每个程序的第一个有效事件总偏向 lane 0，多个程序累加后可能把 lane 0 推过 </w:t>
      </w:r>
      <w:r>
        <w:lastRenderedPageBreak/>
        <w:t>256，而其它 lane 还有空位。改进方式不是按 workload 定制 SRAM，而是在通用程序 descriptor 中加一个 2-bit </w:t>
      </w:r>
      <w:proofErr w:type="spellStart"/>
      <w:r>
        <w:rPr>
          <w:rStyle w:val="HTML"/>
          <w:color w:val="172033"/>
          <w:shd w:val="clear" w:color="auto" w:fill="EEF2F7"/>
        </w:rPr>
        <w:t>initial_phase</w:t>
      </w:r>
      <w:proofErr w:type="spellEnd"/>
      <w:r>
        <w:t>；编译器把每个程序的起点在 0/1/2/3 中旋转，硬件启动时把 phase 初始化为该值。四条物理 lane 的深度仍完全相同，程序仍可替换。</w:t>
      </w:r>
    </w:p>
    <w:p w14:paraId="6550ABB8" w14:textId="31353859" w:rsidR="00BD35D9" w:rsidRDefault="00CA06AC" w:rsidP="00CA06AC">
      <w:pPr>
        <w:pStyle w:val="1"/>
      </w:pPr>
      <w:r>
        <w:rPr>
          <w:rFonts w:hint="eastAsia"/>
        </w:rPr>
        <w:t>可编程字典方案</w:t>
      </w:r>
    </w:p>
    <w:p w14:paraId="46C6878F" w14:textId="1339CE06" w:rsidR="00C80DA1" w:rsidRDefault="00C80DA1" w:rsidP="00BD35D9">
      <w:pPr>
        <w:rPr>
          <w:rFonts w:ascii="Segoe UI" w:hAnsi="Segoe UI" w:cs="Segoe UI"/>
          <w:color w:val="182230"/>
          <w:sz w:val="23"/>
          <w:szCs w:val="23"/>
          <w:shd w:val="clear" w:color="auto" w:fill="FFFFFF"/>
        </w:rPr>
      </w:pPr>
      <w:bookmarkStart w:id="0" w:name="OLE_LINK1"/>
      <w:proofErr w:type="spellStart"/>
      <w:r>
        <w:rPr>
          <w:rFonts w:ascii="Segoe UI" w:hAnsi="Segoe UI" w:cs="Segoe UI"/>
          <w:color w:val="182230"/>
          <w:sz w:val="23"/>
          <w:szCs w:val="23"/>
          <w:shd w:val="clear" w:color="auto" w:fill="FFFFFF"/>
        </w:rPr>
        <w:t>Multanen</w:t>
      </w:r>
      <w:proofErr w:type="spellEnd"/>
      <w:r>
        <w:rPr>
          <w:rFonts w:ascii="Segoe UI" w:hAnsi="Segoe UI" w:cs="Segoe UI"/>
          <w:color w:val="182230"/>
          <w:sz w:val="23"/>
          <w:szCs w:val="23"/>
          <w:shd w:val="clear" w:color="auto" w:fill="FFFFFF"/>
        </w:rPr>
        <w:t xml:space="preserve"> et al., </w:t>
      </w:r>
      <w:hyperlink r:id="rId7" w:history="1">
        <w:r>
          <w:rPr>
            <w:rStyle w:val="af"/>
            <w:rFonts w:ascii="Segoe UI" w:hAnsi="Segoe UI" w:cs="Segoe UI"/>
            <w:color w:val="175CD3"/>
            <w:sz w:val="23"/>
            <w:szCs w:val="23"/>
            <w:u w:val="none"/>
            <w:shd w:val="clear" w:color="auto" w:fill="FFFFFF"/>
          </w:rPr>
          <w:t>Energy-effici</w:t>
        </w:r>
        <w:r>
          <w:rPr>
            <w:rStyle w:val="af"/>
            <w:rFonts w:ascii="Segoe UI" w:hAnsi="Segoe UI" w:cs="Segoe UI"/>
            <w:color w:val="175CD3"/>
            <w:sz w:val="23"/>
            <w:szCs w:val="23"/>
            <w:u w:val="none"/>
            <w:shd w:val="clear" w:color="auto" w:fill="FFFFFF"/>
          </w:rPr>
          <w:t>e</w:t>
        </w:r>
        <w:r>
          <w:rPr>
            <w:rStyle w:val="af"/>
            <w:rFonts w:ascii="Segoe UI" w:hAnsi="Segoe UI" w:cs="Segoe UI"/>
            <w:color w:val="175CD3"/>
            <w:sz w:val="23"/>
            <w:szCs w:val="23"/>
            <w:u w:val="none"/>
            <w:shd w:val="clear" w:color="auto" w:fill="FFFFFF"/>
          </w:rPr>
          <w:t>nt instruction compression with p</w:t>
        </w:r>
        <w:r>
          <w:rPr>
            <w:rStyle w:val="af"/>
            <w:rFonts w:ascii="Segoe UI" w:hAnsi="Segoe UI" w:cs="Segoe UI"/>
            <w:color w:val="175CD3"/>
            <w:sz w:val="23"/>
            <w:szCs w:val="23"/>
            <w:u w:val="none"/>
            <w:shd w:val="clear" w:color="auto" w:fill="FFFFFF"/>
          </w:rPr>
          <w:t>r</w:t>
        </w:r>
        <w:r>
          <w:rPr>
            <w:rStyle w:val="af"/>
            <w:rFonts w:ascii="Segoe UI" w:hAnsi="Segoe UI" w:cs="Segoe UI"/>
            <w:color w:val="175CD3"/>
            <w:sz w:val="23"/>
            <w:szCs w:val="23"/>
            <w:u w:val="none"/>
            <w:shd w:val="clear" w:color="auto" w:fill="FFFFFF"/>
          </w:rPr>
          <w:t>ogrammable dictionaries</w:t>
        </w:r>
      </w:hyperlink>
      <w:r>
        <w:rPr>
          <w:rFonts w:ascii="Segoe UI" w:hAnsi="Segoe UI" w:cs="Segoe UI"/>
          <w:color w:val="182230"/>
          <w:sz w:val="23"/>
          <w:szCs w:val="23"/>
          <w:shd w:val="clear" w:color="auto" w:fill="FFFFFF"/>
        </w:rPr>
        <w:t>, DAEM, 2024</w:t>
      </w:r>
    </w:p>
    <w:bookmarkEnd w:id="0"/>
    <w:p w14:paraId="0D5DE433" w14:textId="22BA5D89" w:rsidR="006A1E16" w:rsidRDefault="006A1E16" w:rsidP="006A1E16">
      <w:pPr>
        <w:pStyle w:val="ae"/>
        <w:spacing w:before="120" w:beforeAutospacing="0" w:after="195" w:afterAutospacing="0"/>
        <w:rPr>
          <w:rFonts w:ascii="Segoe UI" w:hAnsi="Segoe UI" w:cs="Segoe UI"/>
          <w:color w:val="172033"/>
          <w:sz w:val="23"/>
          <w:szCs w:val="23"/>
        </w:rPr>
      </w:pPr>
      <w:r>
        <w:rPr>
          <w:rFonts w:ascii="Segoe UI" w:hAnsi="Segoe UI" w:cs="Segoe UI"/>
          <w:color w:val="172033"/>
          <w:sz w:val="23"/>
          <w:szCs w:val="23"/>
        </w:rPr>
        <w:t>假设一条宽指令有五个槽。论文把指令按</w:t>
      </w:r>
      <w:r>
        <w:rPr>
          <w:rFonts w:ascii="Segoe UI" w:hAnsi="Segoe UI" w:cs="Segoe UI"/>
          <w:color w:val="172033"/>
          <w:sz w:val="23"/>
          <w:szCs w:val="23"/>
        </w:rPr>
        <w:t xml:space="preserve"> issue slot </w:t>
      </w:r>
      <w:r>
        <w:rPr>
          <w:rFonts w:ascii="Segoe UI" w:hAnsi="Segoe UI" w:cs="Segoe UI"/>
          <w:color w:val="172033"/>
          <w:sz w:val="23"/>
          <w:szCs w:val="23"/>
        </w:rPr>
        <w:t>分成五个字段，每个字段用一张小字典。例如一条压缩指令不再保存五个原字段，而是保存五个字典索引。五张字典同拍读出，重新拼成一条完整</w:t>
      </w:r>
      <w:r>
        <w:rPr>
          <w:rFonts w:ascii="Segoe UI" w:hAnsi="Segoe UI" w:cs="Segoe UI"/>
          <w:color w:val="172033"/>
          <w:sz w:val="23"/>
          <w:szCs w:val="23"/>
        </w:rPr>
        <w:t xml:space="preserve"> VLIW</w:t>
      </w:r>
      <w:r>
        <w:rPr>
          <w:rFonts w:ascii="Segoe UI" w:hAnsi="Segoe UI" w:cs="Segoe UI"/>
          <w:color w:val="172033"/>
          <w:sz w:val="23"/>
          <w:szCs w:val="23"/>
        </w:rPr>
        <w:t>。</w:t>
      </w:r>
    </w:p>
    <w:p w14:paraId="612E43D0" w14:textId="342381D0" w:rsidR="006A1E16" w:rsidRDefault="006A1E16" w:rsidP="006A1E16">
      <w:pPr>
        <w:pStyle w:val="ae"/>
        <w:spacing w:before="120" w:beforeAutospacing="0" w:after="195" w:afterAutospacing="0"/>
        <w:rPr>
          <w:rFonts w:ascii="Segoe UI" w:hAnsi="Segoe UI" w:cs="Segoe UI"/>
          <w:color w:val="172033"/>
          <w:sz w:val="23"/>
          <w:szCs w:val="23"/>
        </w:rPr>
      </w:pPr>
      <w:r>
        <w:rPr>
          <w:rFonts w:ascii="Segoe UI" w:hAnsi="Segoe UI" w:cs="Segoe UI"/>
          <w:color w:val="172033"/>
          <w:sz w:val="23"/>
          <w:szCs w:val="23"/>
        </w:rPr>
        <w:t>论文让编译器做选择：能反复复用已有字典项的指令压缩；其余指令继续以原宽形式存在。这样字典可以保持较小，也避免为了</w:t>
      </w:r>
      <w:r>
        <w:rPr>
          <w:rFonts w:ascii="Segoe UI" w:hAnsi="Segoe UI" w:cs="Segoe UI"/>
          <w:color w:val="172033"/>
          <w:sz w:val="23"/>
          <w:szCs w:val="23"/>
        </w:rPr>
        <w:t>“</w:t>
      </w:r>
      <w:r>
        <w:rPr>
          <w:rFonts w:ascii="Segoe UI" w:hAnsi="Segoe UI" w:cs="Segoe UI"/>
          <w:color w:val="172033"/>
          <w:sz w:val="23"/>
          <w:szCs w:val="23"/>
        </w:rPr>
        <w:t>压缩率好看</w:t>
      </w:r>
      <w:r>
        <w:rPr>
          <w:rFonts w:ascii="Segoe UI" w:hAnsi="Segoe UI" w:cs="Segoe UI"/>
          <w:color w:val="172033"/>
          <w:sz w:val="23"/>
          <w:szCs w:val="23"/>
        </w:rPr>
        <w:t>”</w:t>
      </w:r>
      <w:r>
        <w:rPr>
          <w:rFonts w:ascii="Segoe UI" w:hAnsi="Segoe UI" w:cs="Segoe UI"/>
          <w:color w:val="172033"/>
          <w:sz w:val="23"/>
          <w:szCs w:val="23"/>
        </w:rPr>
        <w:t>导致真实能耗变差。</w:t>
      </w:r>
    </w:p>
    <w:p w14:paraId="752BA6E1" w14:textId="5137CEFF" w:rsidR="006A1E16" w:rsidRDefault="006A1E16" w:rsidP="006A1E16">
      <w:pPr>
        <w:pStyle w:val="ae"/>
        <w:spacing w:before="120" w:beforeAutospacing="0" w:after="195" w:afterAutospacing="0"/>
        <w:rPr>
          <w:rFonts w:ascii="Segoe UI" w:hAnsi="Segoe UI" w:cs="Segoe UI"/>
          <w:color w:val="172033"/>
          <w:sz w:val="23"/>
          <w:szCs w:val="23"/>
        </w:rPr>
      </w:pPr>
      <w:r>
        <w:rPr>
          <w:rFonts w:ascii="Segoe UI" w:hAnsi="Segoe UI" w:cs="Segoe UI"/>
          <w:color w:val="172033"/>
          <w:sz w:val="23"/>
          <w:szCs w:val="23"/>
        </w:rPr>
        <w:t>论文保持主指令存储的取指宽度不变：一个取指字要么是一条原宽指令，要么装固定数量的压缩指令。硬件读到压缩</w:t>
      </w:r>
      <w:r>
        <w:rPr>
          <w:rFonts w:ascii="Segoe UI" w:hAnsi="Segoe UI" w:cs="Segoe UI"/>
          <w:color w:val="172033"/>
          <w:sz w:val="23"/>
          <w:szCs w:val="23"/>
        </w:rPr>
        <w:t xml:space="preserve"> bundle </w:t>
      </w:r>
      <w:r>
        <w:rPr>
          <w:rFonts w:ascii="Segoe UI" w:hAnsi="Segoe UI" w:cs="Segoe UI"/>
          <w:color w:val="172033"/>
          <w:sz w:val="23"/>
          <w:szCs w:val="23"/>
        </w:rPr>
        <w:t>后，将索引保存在小缓冲中，接下来逐周期查字典并输出一条完整指令。这样流水线填满后仍能每周期给后端一条指令。</w:t>
      </w:r>
    </w:p>
    <w:p w14:paraId="39773910" w14:textId="77777777" w:rsidR="00246E97" w:rsidRDefault="00246E97" w:rsidP="006A1E16">
      <w:pPr>
        <w:pStyle w:val="ae"/>
        <w:spacing w:before="120" w:beforeAutospacing="0" w:after="195" w:afterAutospacing="0"/>
        <w:rPr>
          <w:rFonts w:ascii="Segoe UI" w:hAnsi="Segoe UI" w:cs="Segoe UI"/>
          <w:color w:val="172033"/>
          <w:sz w:val="23"/>
          <w:szCs w:val="23"/>
        </w:rPr>
      </w:pPr>
    </w:p>
    <w:p w14:paraId="7C2F8B6B" w14:textId="650CDC95" w:rsidR="006A1E16" w:rsidRDefault="006A1E16" w:rsidP="006A1E16">
      <w:pPr>
        <w:pStyle w:val="ae"/>
        <w:spacing w:before="120" w:beforeAutospacing="0" w:after="195" w:afterAutospacing="0"/>
        <w:rPr>
          <w:rFonts w:ascii="Segoe UI" w:hAnsi="Segoe UI" w:cs="Segoe UI"/>
          <w:color w:val="172033"/>
          <w:sz w:val="23"/>
          <w:szCs w:val="23"/>
        </w:rPr>
      </w:pPr>
      <w:r>
        <w:rPr>
          <w:rFonts w:ascii="Segoe UI" w:hAnsi="Segoe UI" w:cs="Segoe UI"/>
          <w:color w:val="172033"/>
          <w:sz w:val="23"/>
          <w:szCs w:val="23"/>
        </w:rPr>
        <w:t>不同程序、不同循环常用的指令字段并不相同。一套全程序静态字典要么很大，要么覆盖率很低。论文在编译时分析控制流图（</w:t>
      </w:r>
      <w:r>
        <w:rPr>
          <w:rFonts w:ascii="Segoe UI" w:hAnsi="Segoe UI" w:cs="Segoe UI"/>
          <w:color w:val="172033"/>
          <w:sz w:val="23"/>
          <w:szCs w:val="23"/>
        </w:rPr>
        <w:t>CFG</w:t>
      </w:r>
      <w:r>
        <w:rPr>
          <w:rFonts w:ascii="Segoe UI" w:hAnsi="Segoe UI" w:cs="Segoe UI"/>
          <w:color w:val="172033"/>
          <w:sz w:val="23"/>
          <w:szCs w:val="23"/>
        </w:rPr>
        <w:t>），把嵌套循环附近的基本块组成</w:t>
      </w:r>
      <w:r>
        <w:rPr>
          <w:rFonts w:ascii="Segoe UI" w:hAnsi="Segoe UI" w:cs="Segoe UI"/>
          <w:color w:val="172033"/>
          <w:sz w:val="23"/>
          <w:szCs w:val="23"/>
        </w:rPr>
        <w:t>“</w:t>
      </w:r>
      <w:r>
        <w:rPr>
          <w:rFonts w:ascii="Segoe UI" w:hAnsi="Segoe UI" w:cs="Segoe UI"/>
          <w:color w:val="172033"/>
          <w:sz w:val="23"/>
          <w:szCs w:val="23"/>
        </w:rPr>
        <w:t>压缩区域</w:t>
      </w:r>
      <w:r>
        <w:rPr>
          <w:rFonts w:ascii="Segoe UI" w:hAnsi="Segoe UI" w:cs="Segoe UI"/>
          <w:color w:val="172033"/>
          <w:sz w:val="23"/>
          <w:szCs w:val="23"/>
        </w:rPr>
        <w:t>”</w:t>
      </w:r>
      <w:r>
        <w:rPr>
          <w:rFonts w:ascii="Segoe UI" w:hAnsi="Segoe UI" w:cs="Segoe UI"/>
          <w:color w:val="172033"/>
          <w:sz w:val="23"/>
          <w:szCs w:val="23"/>
        </w:rPr>
        <w:t>；程序进入一个区域时先执行</w:t>
      </w:r>
      <w:r>
        <w:rPr>
          <w:rFonts w:ascii="Segoe UI" w:hAnsi="Segoe UI" w:cs="Segoe UI"/>
          <w:color w:val="172033"/>
          <w:sz w:val="23"/>
          <w:szCs w:val="23"/>
        </w:rPr>
        <w:t xml:space="preserve"> header</w:t>
      </w:r>
      <w:r>
        <w:rPr>
          <w:rFonts w:ascii="Segoe UI" w:hAnsi="Segoe UI" w:cs="Segoe UI"/>
          <w:color w:val="172033"/>
          <w:sz w:val="23"/>
          <w:szCs w:val="23"/>
        </w:rPr>
        <w:t>，再用若干个原宽字把新</w:t>
      </w:r>
      <w:r>
        <w:rPr>
          <w:rFonts w:ascii="Segoe UI" w:hAnsi="Segoe UI" w:cs="Segoe UI"/>
          <w:color w:val="172033"/>
          <w:sz w:val="23"/>
          <w:szCs w:val="23"/>
        </w:rPr>
        <w:t xml:space="preserve"> frame </w:t>
      </w:r>
      <w:r>
        <w:rPr>
          <w:rFonts w:ascii="Segoe UI" w:hAnsi="Segoe UI" w:cs="Segoe UI"/>
          <w:color w:val="172033"/>
          <w:sz w:val="23"/>
          <w:szCs w:val="23"/>
        </w:rPr>
        <w:t>写入五张字典。论文避免在循环体内部反复改字典，而在进入循环区域时更新，以摊薄开销。</w:t>
      </w:r>
    </w:p>
    <w:p w14:paraId="7C60B5C9" w14:textId="77777777" w:rsidR="00246E97" w:rsidRDefault="00246E97" w:rsidP="006A1E16">
      <w:pPr>
        <w:pStyle w:val="ae"/>
        <w:spacing w:before="120" w:beforeAutospacing="0" w:after="195" w:afterAutospacing="0"/>
        <w:rPr>
          <w:rFonts w:ascii="Segoe UI" w:hAnsi="Segoe UI" w:cs="Segoe UI"/>
          <w:color w:val="172033"/>
          <w:sz w:val="23"/>
          <w:szCs w:val="23"/>
        </w:rPr>
      </w:pPr>
    </w:p>
    <w:p w14:paraId="107E19C3" w14:textId="4F189032" w:rsidR="006A1E16" w:rsidRDefault="006A1E16" w:rsidP="006A1E16">
      <w:pPr>
        <w:pStyle w:val="ae"/>
        <w:spacing w:before="120" w:beforeAutospacing="0" w:after="195" w:afterAutospacing="0"/>
        <w:rPr>
          <w:rFonts w:ascii="Segoe UI" w:hAnsi="Segoe UI" w:cs="Segoe UI"/>
          <w:color w:val="172033"/>
          <w:sz w:val="23"/>
          <w:szCs w:val="23"/>
        </w:rPr>
      </w:pPr>
      <w:r>
        <w:rPr>
          <w:rFonts w:ascii="Segoe UI" w:hAnsi="Segoe UI" w:cs="Segoe UI"/>
          <w:color w:val="172033"/>
          <w:sz w:val="23"/>
          <w:szCs w:val="23"/>
        </w:rPr>
        <w:t>不能简单地给每个槽独立选择最常见的值，因为一条指令只有在</w:t>
      </w:r>
      <w:r>
        <w:rPr>
          <w:rStyle w:val="af1"/>
          <w:rFonts w:ascii="Segoe UI" w:hAnsi="Segoe UI" w:cs="Segoe UI"/>
          <w:color w:val="172033"/>
          <w:sz w:val="23"/>
          <w:szCs w:val="23"/>
        </w:rPr>
        <w:t>五个字段都能命中字典</w:t>
      </w:r>
      <w:r>
        <w:rPr>
          <w:rFonts w:ascii="Segoe UI" w:hAnsi="Segoe UI" w:cs="Segoe UI"/>
          <w:color w:val="172033"/>
          <w:sz w:val="23"/>
          <w:szCs w:val="23"/>
        </w:rPr>
        <w:t>时才可压缩；而且还要连续凑够固定数量才形成</w:t>
      </w:r>
      <w:r>
        <w:rPr>
          <w:rFonts w:ascii="Segoe UI" w:hAnsi="Segoe UI" w:cs="Segoe UI"/>
          <w:color w:val="172033"/>
          <w:sz w:val="23"/>
          <w:szCs w:val="23"/>
        </w:rPr>
        <w:t xml:space="preserve"> bundle</w:t>
      </w:r>
      <w:r>
        <w:rPr>
          <w:rFonts w:ascii="Segoe UI" w:hAnsi="Segoe UI" w:cs="Segoe UI"/>
          <w:color w:val="172033"/>
          <w:sz w:val="23"/>
          <w:szCs w:val="23"/>
        </w:rPr>
        <w:t>。论文从内层循环开始，若整个循环所需项能放下就全部放入；放不下时，对候选</w:t>
      </w:r>
      <w:r>
        <w:rPr>
          <w:rFonts w:ascii="Segoe UI" w:hAnsi="Segoe UI" w:cs="Segoe UI"/>
          <w:color w:val="172033"/>
          <w:sz w:val="23"/>
          <w:szCs w:val="23"/>
        </w:rPr>
        <w:t xml:space="preserve"> bundle </w:t>
      </w:r>
      <w:r>
        <w:rPr>
          <w:rFonts w:ascii="Segoe UI" w:hAnsi="Segoe UI" w:cs="Segoe UI"/>
          <w:color w:val="172033"/>
          <w:sz w:val="23"/>
          <w:szCs w:val="23"/>
        </w:rPr>
        <w:t>计算</w:t>
      </w:r>
      <w:r>
        <w:rPr>
          <w:rFonts w:ascii="Segoe UI" w:hAnsi="Segoe UI" w:cs="Segoe UI"/>
          <w:color w:val="172033"/>
          <w:sz w:val="23"/>
          <w:szCs w:val="23"/>
        </w:rPr>
        <w:t xml:space="preserve"> </w:t>
      </w:r>
      <w:r>
        <w:rPr>
          <w:rFonts w:ascii="Segoe UI" w:hAnsi="Segoe UI" w:cs="Segoe UI"/>
          <w:color w:val="172033"/>
          <w:sz w:val="23"/>
          <w:szCs w:val="23"/>
        </w:rPr>
        <w:lastRenderedPageBreak/>
        <w:t>occurrence-cost</w:t>
      </w:r>
      <w:r>
        <w:rPr>
          <w:rFonts w:ascii="Segoe UI" w:hAnsi="Segoe UI" w:cs="Segoe UI"/>
          <w:color w:val="172033"/>
          <w:sz w:val="23"/>
          <w:szCs w:val="23"/>
        </w:rPr>
        <w:t>：大意是</w:t>
      </w:r>
      <w:r>
        <w:rPr>
          <w:rFonts w:ascii="Segoe UI" w:hAnsi="Segoe UI" w:cs="Segoe UI"/>
          <w:color w:val="172033"/>
          <w:sz w:val="23"/>
          <w:szCs w:val="23"/>
        </w:rPr>
        <w:t>“</w:t>
      </w:r>
      <w:r>
        <w:rPr>
          <w:rFonts w:ascii="Segoe UI" w:hAnsi="Segoe UI" w:cs="Segoe UI"/>
          <w:color w:val="172033"/>
          <w:sz w:val="23"/>
          <w:szCs w:val="23"/>
        </w:rPr>
        <w:t>新增多少字典项</w:t>
      </w:r>
      <w:r>
        <w:rPr>
          <w:rFonts w:ascii="Segoe UI" w:hAnsi="Segoe UI" w:cs="Segoe UI"/>
          <w:color w:val="172033"/>
          <w:sz w:val="23"/>
          <w:szCs w:val="23"/>
        </w:rPr>
        <w:t>”</w:t>
      </w:r>
      <w:r>
        <w:rPr>
          <w:rFonts w:ascii="Segoe UI" w:hAnsi="Segoe UI" w:cs="Segoe UI"/>
          <w:color w:val="172033"/>
          <w:sz w:val="23"/>
          <w:szCs w:val="23"/>
        </w:rPr>
        <w:t>除以</w:t>
      </w:r>
      <w:r>
        <w:rPr>
          <w:rFonts w:ascii="Segoe UI" w:hAnsi="Segoe UI" w:cs="Segoe UI"/>
          <w:color w:val="172033"/>
          <w:sz w:val="23"/>
          <w:szCs w:val="23"/>
        </w:rPr>
        <w:t>“</w:t>
      </w:r>
      <w:r>
        <w:rPr>
          <w:rFonts w:ascii="Segoe UI" w:hAnsi="Segoe UI" w:cs="Segoe UI"/>
          <w:color w:val="172033"/>
          <w:sz w:val="23"/>
          <w:szCs w:val="23"/>
        </w:rPr>
        <w:t>这些项在区域里能复用多少次</w:t>
      </w:r>
      <w:r>
        <w:rPr>
          <w:rFonts w:ascii="Segoe UI" w:hAnsi="Segoe UI" w:cs="Segoe UI"/>
          <w:color w:val="172033"/>
          <w:sz w:val="23"/>
          <w:szCs w:val="23"/>
        </w:rPr>
        <w:t>”</w:t>
      </w:r>
      <w:r>
        <w:rPr>
          <w:rFonts w:ascii="Segoe UI" w:hAnsi="Segoe UI" w:cs="Segoe UI"/>
          <w:color w:val="172033"/>
          <w:sz w:val="23"/>
          <w:szCs w:val="23"/>
        </w:rPr>
        <w:t>，优先选择花费小、复用多的联合组合。</w:t>
      </w:r>
    </w:p>
    <w:p w14:paraId="50AF15EC" w14:textId="77777777" w:rsidR="006A1E16" w:rsidRDefault="006A1E16" w:rsidP="006A1E16">
      <w:pPr>
        <w:shd w:val="clear" w:color="auto" w:fill="F8FAFC"/>
        <w:rPr>
          <w:rFonts w:ascii="Segoe UI" w:hAnsi="Segoe UI" w:cs="Segoe UI"/>
          <w:color w:val="172033"/>
          <w:sz w:val="23"/>
          <w:szCs w:val="23"/>
        </w:rPr>
      </w:pPr>
      <w:r>
        <w:rPr>
          <w:rFonts w:ascii="Cambria Math" w:hAnsi="Cambria Math" w:cs="Cambria Math"/>
          <w:b/>
          <w:bCs/>
          <w:color w:val="172033"/>
          <w:sz w:val="23"/>
          <w:szCs w:val="23"/>
        </w:rPr>
        <w:t>①</w:t>
      </w:r>
      <w:r>
        <w:rPr>
          <w:rFonts w:ascii="Segoe UI" w:hAnsi="Segoe UI" w:cs="Segoe UI"/>
          <w:b/>
          <w:bCs/>
          <w:color w:val="172033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172033"/>
          <w:sz w:val="23"/>
          <w:szCs w:val="23"/>
        </w:rPr>
        <w:t>普通程序</w:t>
      </w:r>
      <w:r>
        <w:rPr>
          <w:rFonts w:ascii="Segoe UI" w:hAnsi="Segoe UI" w:cs="Segoe UI"/>
          <w:color w:val="172033"/>
          <w:sz w:val="23"/>
          <w:szCs w:val="23"/>
        </w:rPr>
        <w:br/>
      </w:r>
      <w:r>
        <w:rPr>
          <w:rFonts w:ascii="Segoe UI" w:hAnsi="Segoe UI" w:cs="Segoe UI"/>
          <w:color w:val="172033"/>
          <w:sz w:val="23"/>
          <w:szCs w:val="23"/>
        </w:rPr>
        <w:t>编译得到原始宽指令</w:t>
      </w:r>
    </w:p>
    <w:p w14:paraId="69482267" w14:textId="77777777" w:rsidR="006A1E16" w:rsidRDefault="006A1E16" w:rsidP="006A1E16">
      <w:pPr>
        <w:shd w:val="clear" w:color="auto" w:fill="F8FAFC"/>
        <w:rPr>
          <w:rFonts w:ascii="Segoe UI" w:hAnsi="Segoe UI" w:cs="Segoe UI"/>
          <w:color w:val="172033"/>
          <w:sz w:val="23"/>
          <w:szCs w:val="23"/>
        </w:rPr>
      </w:pPr>
      <w:r>
        <w:rPr>
          <w:rFonts w:ascii="Cambria Math" w:hAnsi="Cambria Math" w:cs="Cambria Math"/>
          <w:b/>
          <w:bCs/>
          <w:color w:val="172033"/>
          <w:sz w:val="23"/>
          <w:szCs w:val="23"/>
        </w:rPr>
        <w:t>②</w:t>
      </w:r>
      <w:r>
        <w:rPr>
          <w:rFonts w:ascii="Segoe UI" w:hAnsi="Segoe UI" w:cs="Segoe UI"/>
          <w:b/>
          <w:bCs/>
          <w:color w:val="172033"/>
          <w:sz w:val="23"/>
          <w:szCs w:val="23"/>
        </w:rPr>
        <w:t xml:space="preserve"> CFG/</w:t>
      </w:r>
      <w:r>
        <w:rPr>
          <w:rFonts w:ascii="Segoe UI" w:hAnsi="Segoe UI" w:cs="Segoe UI"/>
          <w:b/>
          <w:bCs/>
          <w:color w:val="172033"/>
          <w:sz w:val="23"/>
          <w:szCs w:val="23"/>
        </w:rPr>
        <w:t>循环分析</w:t>
      </w:r>
      <w:r>
        <w:rPr>
          <w:rFonts w:ascii="Segoe UI" w:hAnsi="Segoe UI" w:cs="Segoe UI"/>
          <w:color w:val="172033"/>
          <w:sz w:val="23"/>
          <w:szCs w:val="23"/>
        </w:rPr>
        <w:br/>
      </w:r>
      <w:r>
        <w:rPr>
          <w:rFonts w:ascii="Segoe UI" w:hAnsi="Segoe UI" w:cs="Segoe UI"/>
          <w:color w:val="172033"/>
          <w:sz w:val="23"/>
          <w:szCs w:val="23"/>
        </w:rPr>
        <w:t>找适合压缩的区域</w:t>
      </w:r>
    </w:p>
    <w:p w14:paraId="7223534C" w14:textId="77777777" w:rsidR="006A1E16" w:rsidRDefault="006A1E16" w:rsidP="006A1E16">
      <w:pPr>
        <w:shd w:val="clear" w:color="auto" w:fill="F8FAFC"/>
        <w:rPr>
          <w:rFonts w:ascii="Segoe UI" w:hAnsi="Segoe UI" w:cs="Segoe UI"/>
          <w:color w:val="172033"/>
          <w:sz w:val="23"/>
          <w:szCs w:val="23"/>
        </w:rPr>
      </w:pPr>
      <w:r>
        <w:rPr>
          <w:rFonts w:ascii="Cambria Math" w:hAnsi="Cambria Math" w:cs="Cambria Math"/>
          <w:b/>
          <w:bCs/>
          <w:color w:val="172033"/>
          <w:sz w:val="23"/>
          <w:szCs w:val="23"/>
        </w:rPr>
        <w:t>③</w:t>
      </w:r>
      <w:r>
        <w:rPr>
          <w:rFonts w:ascii="Segoe UI" w:hAnsi="Segoe UI" w:cs="Segoe UI"/>
          <w:b/>
          <w:bCs/>
          <w:color w:val="172033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172033"/>
          <w:sz w:val="23"/>
          <w:szCs w:val="23"/>
        </w:rPr>
        <w:t>联合选字典项</w:t>
      </w:r>
      <w:r>
        <w:rPr>
          <w:rFonts w:ascii="Segoe UI" w:hAnsi="Segoe UI" w:cs="Segoe UI"/>
          <w:color w:val="172033"/>
          <w:sz w:val="23"/>
          <w:szCs w:val="23"/>
        </w:rPr>
        <w:br/>
      </w:r>
      <w:r>
        <w:rPr>
          <w:rFonts w:ascii="Segoe UI" w:hAnsi="Segoe UI" w:cs="Segoe UI"/>
          <w:color w:val="172033"/>
          <w:sz w:val="23"/>
          <w:szCs w:val="23"/>
        </w:rPr>
        <w:t>保证完整</w:t>
      </w:r>
      <w:r>
        <w:rPr>
          <w:rFonts w:ascii="Segoe UI" w:hAnsi="Segoe UI" w:cs="Segoe UI"/>
          <w:color w:val="172033"/>
          <w:sz w:val="23"/>
          <w:szCs w:val="23"/>
        </w:rPr>
        <w:t xml:space="preserve"> bundle </w:t>
      </w:r>
      <w:r>
        <w:rPr>
          <w:rFonts w:ascii="Segoe UI" w:hAnsi="Segoe UI" w:cs="Segoe UI"/>
          <w:color w:val="172033"/>
          <w:sz w:val="23"/>
          <w:szCs w:val="23"/>
        </w:rPr>
        <w:t>可命中</w:t>
      </w:r>
    </w:p>
    <w:p w14:paraId="305B63B5" w14:textId="77777777" w:rsidR="006A1E16" w:rsidRDefault="006A1E16" w:rsidP="006A1E16">
      <w:pPr>
        <w:shd w:val="clear" w:color="auto" w:fill="F8FAFC"/>
        <w:rPr>
          <w:rFonts w:ascii="Segoe UI" w:hAnsi="Segoe UI" w:cs="Segoe UI"/>
          <w:color w:val="172033"/>
          <w:sz w:val="23"/>
          <w:szCs w:val="23"/>
        </w:rPr>
      </w:pPr>
      <w:r>
        <w:rPr>
          <w:rFonts w:ascii="Cambria Math" w:hAnsi="Cambria Math" w:cs="Cambria Math"/>
          <w:b/>
          <w:bCs/>
          <w:color w:val="172033"/>
          <w:sz w:val="23"/>
          <w:szCs w:val="23"/>
        </w:rPr>
        <w:t>④</w:t>
      </w:r>
      <w:r>
        <w:rPr>
          <w:rFonts w:ascii="Segoe UI" w:hAnsi="Segoe UI" w:cs="Segoe UI"/>
          <w:b/>
          <w:bCs/>
          <w:color w:val="172033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172033"/>
          <w:sz w:val="23"/>
          <w:szCs w:val="23"/>
        </w:rPr>
        <w:t>插入</w:t>
      </w:r>
      <w:r>
        <w:rPr>
          <w:rFonts w:ascii="Segoe UI" w:hAnsi="Segoe UI" w:cs="Segoe UI"/>
          <w:b/>
          <w:bCs/>
          <w:color w:val="172033"/>
          <w:sz w:val="23"/>
          <w:szCs w:val="23"/>
        </w:rPr>
        <w:t xml:space="preserve"> Frame</w:t>
      </w:r>
      <w:r>
        <w:rPr>
          <w:rFonts w:ascii="Segoe UI" w:hAnsi="Segoe UI" w:cs="Segoe UI"/>
          <w:color w:val="172033"/>
          <w:sz w:val="23"/>
          <w:szCs w:val="23"/>
        </w:rPr>
        <w:br/>
        <w:t xml:space="preserve">header + </w:t>
      </w:r>
      <w:r>
        <w:rPr>
          <w:rFonts w:ascii="Segoe UI" w:hAnsi="Segoe UI" w:cs="Segoe UI"/>
          <w:color w:val="172033"/>
          <w:sz w:val="23"/>
          <w:szCs w:val="23"/>
        </w:rPr>
        <w:t>字典装载字</w:t>
      </w:r>
    </w:p>
    <w:p w14:paraId="337134A9" w14:textId="77777777" w:rsidR="006A1E16" w:rsidRDefault="006A1E16" w:rsidP="006A1E16">
      <w:pPr>
        <w:shd w:val="clear" w:color="auto" w:fill="F8FAFC"/>
        <w:rPr>
          <w:rFonts w:ascii="Segoe UI" w:hAnsi="Segoe UI" w:cs="Segoe UI"/>
          <w:color w:val="172033"/>
          <w:sz w:val="23"/>
          <w:szCs w:val="23"/>
        </w:rPr>
      </w:pPr>
      <w:r>
        <w:rPr>
          <w:rFonts w:ascii="Cambria Math" w:hAnsi="Cambria Math" w:cs="Cambria Math"/>
          <w:b/>
          <w:bCs/>
          <w:color w:val="172033"/>
          <w:sz w:val="23"/>
          <w:szCs w:val="23"/>
        </w:rPr>
        <w:t>⑤</w:t>
      </w:r>
      <w:r>
        <w:rPr>
          <w:rFonts w:ascii="Segoe UI" w:hAnsi="Segoe UI" w:cs="Segoe UI"/>
          <w:b/>
          <w:bCs/>
          <w:color w:val="172033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172033"/>
          <w:sz w:val="23"/>
          <w:szCs w:val="23"/>
        </w:rPr>
        <w:t>运行时恢复</w:t>
      </w:r>
      <w:r>
        <w:rPr>
          <w:rFonts w:ascii="Segoe UI" w:hAnsi="Segoe UI" w:cs="Segoe UI"/>
          <w:color w:val="172033"/>
          <w:sz w:val="23"/>
          <w:szCs w:val="23"/>
        </w:rPr>
        <w:br/>
      </w:r>
      <w:r>
        <w:rPr>
          <w:rFonts w:ascii="Segoe UI" w:hAnsi="Segoe UI" w:cs="Segoe UI"/>
          <w:color w:val="172033"/>
          <w:sz w:val="23"/>
          <w:szCs w:val="23"/>
        </w:rPr>
        <w:t>每周期输出原完整指令</w:t>
      </w:r>
    </w:p>
    <w:p w14:paraId="5E5F2A0D" w14:textId="2F761655" w:rsidR="006A1E16" w:rsidRDefault="00624548" w:rsidP="00BD35D9">
      <w:r w:rsidRPr="00624548">
        <w:drawing>
          <wp:inline distT="0" distB="0" distL="0" distR="0" wp14:anchorId="604390E5" wp14:editId="7DD46F1E">
            <wp:extent cx="5274310" cy="3618865"/>
            <wp:effectExtent l="0" t="0" r="0" b="635"/>
            <wp:docPr id="581920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20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9F14" w14:textId="77777777" w:rsidR="007814BF" w:rsidRPr="007814BF" w:rsidRDefault="007814BF" w:rsidP="007814BF">
      <w:pPr>
        <w:numPr>
          <w:ilvl w:val="0"/>
          <w:numId w:val="5"/>
        </w:numPr>
      </w:pPr>
      <w:proofErr w:type="spellStart"/>
      <w:r w:rsidRPr="007814BF">
        <w:rPr>
          <w:b/>
          <w:bCs/>
        </w:rPr>
        <w:t>Multanen</w:t>
      </w:r>
      <w:proofErr w:type="spellEnd"/>
      <w:r w:rsidRPr="007814BF">
        <w:rPr>
          <w:b/>
          <w:bCs/>
        </w:rPr>
        <w:t xml:space="preserve"> 确实有效，但目标不同。</w:t>
      </w:r>
      <w:r w:rsidRPr="007814BF">
        <w:t>128×5 筛选点相对 E0 将一次池运行的存储动态能量降低约 18.5%、16.2%、23.5%。所以不能说“字典完全无效”。</w:t>
      </w:r>
    </w:p>
    <w:p w14:paraId="1A0DCC5C" w14:textId="77777777" w:rsidR="007814BF" w:rsidRPr="007814BF" w:rsidRDefault="007814BF" w:rsidP="007814BF">
      <w:pPr>
        <w:numPr>
          <w:ilvl w:val="0"/>
          <w:numId w:val="5"/>
        </w:numPr>
      </w:pPr>
      <w:r w:rsidRPr="007814BF">
        <w:rPr>
          <w:b/>
          <w:bCs/>
        </w:rPr>
        <w:t>它没有让 FRV 主程序 SRAM 变浅。</w:t>
      </w:r>
      <w:r w:rsidRPr="007814BF">
        <w:t>BERT 压缩后 6068 字，仍需 8192 深；</w:t>
      </w:r>
      <w:proofErr w:type="spellStart"/>
      <w:r w:rsidRPr="007814BF">
        <w:lastRenderedPageBreak/>
        <w:t>LLaMA</w:t>
      </w:r>
      <w:proofErr w:type="spellEnd"/>
      <w:r w:rsidRPr="007814BF">
        <w:t xml:space="preserve"> 25460 字仍需 32768 深；SD-</w:t>
      </w:r>
      <w:proofErr w:type="spellStart"/>
      <w:r w:rsidRPr="007814BF">
        <w:t>UNet</w:t>
      </w:r>
      <w:proofErr w:type="spellEnd"/>
      <w:r w:rsidRPr="007814BF">
        <w:t xml:space="preserve"> 8702 字仍需 16384 深。主 SRAM 面积与 E0 相同，再加字典后略大。</w:t>
      </w:r>
    </w:p>
    <w:p w14:paraId="1E65B646" w14:textId="77777777" w:rsidR="007814BF" w:rsidRPr="007814BF" w:rsidRDefault="007814BF" w:rsidP="007814BF">
      <w:pPr>
        <w:numPr>
          <w:ilvl w:val="0"/>
          <w:numId w:val="5"/>
        </w:numPr>
      </w:pPr>
      <w:r w:rsidRPr="007814BF">
        <w:rPr>
          <w:b/>
          <w:bCs/>
        </w:rPr>
        <w:t>E2 的 SRAM 组织优势更强。</w:t>
      </w:r>
      <w:r w:rsidRPr="007814BF">
        <w:t xml:space="preserve">E2 面积约是字典筛选点的 21.8%、37.5%、19.4%；动态存储能量约是字典点的 19.2%、30.7%、26.8%。即使暂时不计 </w:t>
      </w:r>
      <w:proofErr w:type="spellStart"/>
      <w:r w:rsidRPr="007814BF">
        <w:t>Multanen</w:t>
      </w:r>
      <w:proofErr w:type="spellEnd"/>
      <w:r w:rsidRPr="007814BF">
        <w:t xml:space="preserve"> 更复杂的 bundle buffer 和控制逻辑，E2 仍明显更低。</w:t>
      </w:r>
    </w:p>
    <w:p w14:paraId="3F0E4E88" w14:textId="77777777" w:rsidR="007814BF" w:rsidRPr="007814BF" w:rsidRDefault="007814BF" w:rsidP="007814BF">
      <w:pPr>
        <w:numPr>
          <w:ilvl w:val="0"/>
          <w:numId w:val="5"/>
        </w:numPr>
      </w:pPr>
      <w:r w:rsidRPr="007814BF">
        <w:rPr>
          <w:b/>
          <w:bCs/>
        </w:rPr>
        <w:t>大字典改善读取，却增加启动开销。</w:t>
      </w:r>
      <w:r w:rsidRPr="007814BF">
        <w:t>128×5 需要在每个函数入口装更多项，额外周期达到 BERT 6.73%、SD-</w:t>
      </w:r>
      <w:proofErr w:type="spellStart"/>
      <w:r w:rsidRPr="007814BF">
        <w:t>UNet</w:t>
      </w:r>
      <w:proofErr w:type="spellEnd"/>
      <w:r w:rsidRPr="007814BF">
        <w:t xml:space="preserve"> 5.52%。原论文能把开销压到 0.13%，依赖热点循环大量重复执行；FRV 展开式微程序不具备同样摊薄条件。</w:t>
      </w:r>
    </w:p>
    <w:p w14:paraId="16B01C42" w14:textId="5AE7E7A3" w:rsidR="007814BF" w:rsidRDefault="008C54A0" w:rsidP="008C54A0">
      <w:pPr>
        <w:pStyle w:val="1"/>
        <w:rPr>
          <w:rFonts w:hint="eastAsia"/>
        </w:rPr>
      </w:pPr>
      <w:r>
        <w:rPr>
          <w:rFonts w:hint="eastAsia"/>
        </w:rPr>
        <w:t>Open ASIP的对比实验</w:t>
      </w:r>
    </w:p>
    <w:p w14:paraId="71FE3603" w14:textId="77777777" w:rsidR="008C54A0" w:rsidRDefault="008C54A0" w:rsidP="008C54A0">
      <w:pPr>
        <w:pStyle w:val="ui-markdownparagraph"/>
      </w:pPr>
      <w:proofErr w:type="spellStart"/>
      <w:r>
        <w:rPr>
          <w:rStyle w:val="font-semibold"/>
        </w:rPr>
        <w:t>OpenASIP</w:t>
      </w:r>
      <w:proofErr w:type="spellEnd"/>
      <w:r>
        <w:t>（Open Application-Specific Instruction-set Processor toolset）是芬兰 Tampere 大学自 2003 年起开发的开源 </w:t>
      </w:r>
      <w:r>
        <w:rPr>
          <w:rStyle w:val="font-semibold"/>
        </w:rPr>
        <w:t>ASIP（专用指令集处理器）协同设计工具链</w:t>
      </w:r>
      <w:r>
        <w:t>，前身叫 TCE。它能从 C 程序一路走到可综合的处理器 RTL（VHDL/Verilog）和指令并行二进制。三个关键点：</w:t>
      </w:r>
    </w:p>
    <w:p w14:paraId="406AF4F8" w14:textId="77777777" w:rsidR="008C54A0" w:rsidRDefault="008C54A0" w:rsidP="008C54A0">
      <w:pPr>
        <w:pStyle w:val="ui-markdownlist-item"/>
        <w:numPr>
          <w:ilvl w:val="0"/>
          <w:numId w:val="6"/>
        </w:numPr>
      </w:pPr>
      <w:r>
        <w:t>它的默认静态多发射模型是 </w:t>
      </w:r>
      <w:r>
        <w:rPr>
          <w:rStyle w:val="font-semibold"/>
        </w:rPr>
        <w:t>TTA（传输触发架构）</w:t>
      </w:r>
      <w:r>
        <w:t>：不像经典 VLIW 那样每个槽编码"哪个 FU 执行什么操作"，而是每条总线一个槽、显式编码"数据从哪搬到哪"——所以它的指令流是 move-slot 流；</w:t>
      </w:r>
    </w:p>
    <w:p w14:paraId="6244ACE0" w14:textId="77777777" w:rsidR="008C54A0" w:rsidRDefault="008C54A0" w:rsidP="008C54A0">
      <w:pPr>
        <w:pStyle w:val="ui-markdownlist-item"/>
        <w:numPr>
          <w:ilvl w:val="0"/>
          <w:numId w:val="6"/>
        </w:numPr>
      </w:pPr>
      <w:r>
        <w:t>它也支持操作型 VLIW（Blocks CGRA 演示，但翻译成 TTA 内部表示）和 RISC-V 定制（标量）；</w:t>
      </w:r>
    </w:p>
    <w:p w14:paraId="7FA904F5" w14:textId="77777777" w:rsidR="008C54A0" w:rsidRDefault="008C54A0" w:rsidP="008C54A0">
      <w:pPr>
        <w:pStyle w:val="ui-markdownlist-item"/>
        <w:numPr>
          <w:ilvl w:val="0"/>
          <w:numId w:val="6"/>
        </w:numPr>
      </w:pPr>
      <w:proofErr w:type="spellStart"/>
      <w:r>
        <w:rPr>
          <w:rStyle w:val="font-semibold"/>
        </w:rPr>
        <w:t>Multanen</w:t>
      </w:r>
      <w:proofErr w:type="spellEnd"/>
      <w:r>
        <w:rPr>
          <w:rStyle w:val="font-semibold"/>
        </w:rPr>
        <w:t xml:space="preserve"> 2024 字典论文的 5-slot/64-bit 基线处理器就是用 </w:t>
      </w:r>
      <w:proofErr w:type="spellStart"/>
      <w:r>
        <w:rPr>
          <w:rStyle w:val="font-semibold"/>
        </w:rPr>
        <w:t>OpenASIP</w:t>
      </w:r>
      <w:proofErr w:type="spellEnd"/>
      <w:r>
        <w:rPr>
          <w:rStyle w:val="font-semibold"/>
        </w:rPr>
        <w:t xml:space="preserve"> 生成的</w:t>
      </w:r>
      <w:r>
        <w:t>——这就是为什么你们的 plan 把它列为获取公开 VLIW trace 的候选来源。</w:t>
      </w:r>
    </w:p>
    <w:p w14:paraId="3559FB07" w14:textId="2D3EDC42" w:rsidR="008C54A0" w:rsidRDefault="002966A7" w:rsidP="00BD35D9">
      <w:r w:rsidRPr="002966A7">
        <w:t>compress-vliw/plan/openasip_equal_width_tta_chstone_embench_e0e1e2e6_plan_2026-09-11.html</w:t>
      </w:r>
    </w:p>
    <w:p w14:paraId="64DC0D40" w14:textId="462AA2B2" w:rsidR="002966A7" w:rsidRPr="007814BF" w:rsidRDefault="002966A7" w:rsidP="00BD35D9">
      <w:r>
        <w:rPr>
          <w:rFonts w:hint="eastAsia"/>
        </w:rPr>
        <w:t>让他生成等宽槽位的目标机器，然后对比E0/E1/E2/E6</w:t>
      </w:r>
      <w:r>
        <w:t>(Multanen)</w:t>
      </w:r>
    </w:p>
    <w:sectPr w:rsidR="002966A7" w:rsidRPr="007814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0F5592"/>
    <w:multiLevelType w:val="multilevel"/>
    <w:tmpl w:val="2C62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D58C3"/>
    <w:multiLevelType w:val="multilevel"/>
    <w:tmpl w:val="18F2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0052D"/>
    <w:multiLevelType w:val="multilevel"/>
    <w:tmpl w:val="7CB4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AC3637"/>
    <w:multiLevelType w:val="multilevel"/>
    <w:tmpl w:val="200A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00F6A"/>
    <w:multiLevelType w:val="multilevel"/>
    <w:tmpl w:val="F10E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1014F"/>
    <w:multiLevelType w:val="multilevel"/>
    <w:tmpl w:val="C7E4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155797">
    <w:abstractNumId w:val="0"/>
  </w:num>
  <w:num w:numId="2" w16cid:durableId="1507402433">
    <w:abstractNumId w:val="5"/>
  </w:num>
  <w:num w:numId="3" w16cid:durableId="1068654964">
    <w:abstractNumId w:val="4"/>
  </w:num>
  <w:num w:numId="4" w16cid:durableId="495850427">
    <w:abstractNumId w:val="3"/>
  </w:num>
  <w:num w:numId="5" w16cid:durableId="1182082932">
    <w:abstractNumId w:val="2"/>
  </w:num>
  <w:num w:numId="6" w16cid:durableId="155126420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5D9"/>
    <w:rsid w:val="000C222C"/>
    <w:rsid w:val="000D0A95"/>
    <w:rsid w:val="001B2D62"/>
    <w:rsid w:val="00246E97"/>
    <w:rsid w:val="002966A7"/>
    <w:rsid w:val="00335174"/>
    <w:rsid w:val="00435F7B"/>
    <w:rsid w:val="00624548"/>
    <w:rsid w:val="006950D6"/>
    <w:rsid w:val="006A1E16"/>
    <w:rsid w:val="007814BF"/>
    <w:rsid w:val="008C54A0"/>
    <w:rsid w:val="00A90D4D"/>
    <w:rsid w:val="00BD35D9"/>
    <w:rsid w:val="00C80DA1"/>
    <w:rsid w:val="00CA06AC"/>
    <w:rsid w:val="00F26FA7"/>
    <w:rsid w:val="00FB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807E0"/>
  <w15:chartTrackingRefBased/>
  <w15:docId w15:val="{CF41B33A-AD4C-174A-922D-C5C08F59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35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D3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5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5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5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5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5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5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5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35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D3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3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35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35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35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35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35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35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35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3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5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35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3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35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35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35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3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35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35D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D35D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BD35D9"/>
    <w:rPr>
      <w:rFonts w:ascii="宋体" w:eastAsia="宋体" w:hAnsi="宋体" w:cs="宋体"/>
      <w:sz w:val="24"/>
      <w:szCs w:val="24"/>
    </w:rPr>
  </w:style>
  <w:style w:type="character" w:styleId="af">
    <w:name w:val="Hyperlink"/>
    <w:basedOn w:val="a0"/>
    <w:uiPriority w:val="99"/>
    <w:semiHidden/>
    <w:unhideWhenUsed/>
    <w:rsid w:val="000C222C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C80DA1"/>
    <w:rPr>
      <w:color w:val="96607D" w:themeColor="followedHyperlink"/>
      <w:u w:val="single"/>
    </w:rPr>
  </w:style>
  <w:style w:type="character" w:styleId="af1">
    <w:name w:val="Strong"/>
    <w:basedOn w:val="a0"/>
    <w:uiPriority w:val="22"/>
    <w:qFormat/>
    <w:rsid w:val="006A1E16"/>
    <w:rPr>
      <w:b/>
      <w:bCs/>
    </w:rPr>
  </w:style>
  <w:style w:type="paragraph" w:customStyle="1" w:styleId="ui-markdownparagraph">
    <w:name w:val="ui-markdown__paragraph"/>
    <w:basedOn w:val="a"/>
    <w:rsid w:val="008C54A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font-semibold">
    <w:name w:val="font-semibold"/>
    <w:basedOn w:val="a0"/>
    <w:rsid w:val="008C54A0"/>
  </w:style>
  <w:style w:type="paragraph" w:customStyle="1" w:styleId="ui-markdownlist-item">
    <w:name w:val="ui-markdown__list-item"/>
    <w:basedOn w:val="a"/>
    <w:rsid w:val="008C54A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link.springer.com/article/10.1007/s10617-024-09290-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i.org/10.1145/3587135.359143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545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胡</dc:creator>
  <cp:keywords/>
  <dc:description/>
  <cp:lastModifiedBy>珂 胡</cp:lastModifiedBy>
  <cp:revision>9</cp:revision>
  <dcterms:created xsi:type="dcterms:W3CDTF">2026-09-11T02:49:00Z</dcterms:created>
  <dcterms:modified xsi:type="dcterms:W3CDTF">2026-09-11T08:21:00Z</dcterms:modified>
</cp:coreProperties>
</file>