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commentRangeStart w:id="6"/>
      <w:commentRangeStart w:id="5"/>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commentRangeEnd w:id="5"/>
      <w:r>
        <w:commentReference w:id="5"/>
      </w:r>
      <w:commentRangeEnd w:id="6"/>
      <w:r>
        <w:commentReference w:id="6"/>
      </w:r>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commentRangeStart w:id="7"/>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commentRangeEnd w:id="7"/>
      <w:r>
        <w:commentReference w:id="7"/>
      </w:r>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commentRangeStart w:id="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commentRangeEnd w:id="8"/>
      <w:r>
        <w:commentReference w:id="8"/>
      </w:r>
    </w:p>
    <w:p w14:paraId="06AD775D">
      <w:commentRangeStart w:id="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commentRangeEnd w:id="9"/>
      <w:r>
        <w:commentReference w:id="9"/>
      </w:r>
    </w:p>
    <w:p w14:paraId="44C3B364">
      <w:commentRangeStart w:id="10"/>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commentRangeEnd w:id="10"/>
      <w:r>
        <w:commentReference w:id="10"/>
      </w:r>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commentRangeStart w:id="32"/>
      <w:commentRangeStart w:id="12"/>
      <w:commentRangeStart w:id="11"/>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commentRangeEnd w:id="11"/>
      <w:r>
        <w:commentReference w:id="11"/>
      </w:r>
      <w:commentRangeEnd w:id="12"/>
      <w:r>
        <w:commentReference w:id="12"/>
      </w:r>
      <w:commentRangeEnd w:id="32"/>
      <w:r>
        <w:commentReference w:id="32"/>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commentRangeStart w:id="1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commentRangeEnd w:id="13"/>
      <w:r>
        <w:commentReference w:id="13"/>
      </w:r>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commentRangeStart w:id="14"/>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commentRangeEnd w:id="14"/>
      <w:r>
        <w:commentReference w:id="14"/>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commentRangeStart w:id="15"/>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commentRangeEnd w:id="15"/>
      <w:r>
        <w:commentReference w:id="15"/>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commentRangeStart w:id="16"/>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commentRangeEnd w:id="16"/>
      <w:r>
        <w:commentReference w:id="16"/>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commentRangeStart w:id="17"/>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commentRangeEnd w:id="17"/>
      <w:r>
        <w:commentReference w:id="17"/>
      </w:r>
    </w:p>
    <w:p w14:paraId="59489DB3">
      <w:commentRangeStart w:id="1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commentRangeEnd w:id="18"/>
      <w:r>
        <w:commentReference w:id="18"/>
      </w:r>
    </w:p>
    <w:p w14:paraId="51D6BE2F">
      <w:commentRangeStart w:id="19"/>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commentRangeStart w:id="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commentRangeEnd w:id="1"/>
      <w:r>
        <w:rPr>
          <w:rStyle w:val="5"/>
        </w:rPr>
        <w:commentReference w:id="1"/>
      </w:r>
      <w:bookmarkEnd w:id="19"/>
      <w:commentRangeEnd w:id="19"/>
      <w:r>
        <w:commentReference w:id="19"/>
      </w:r>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commentRangeStart w:id="20"/>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commentRangeEnd w:id="20"/>
      <w:r>
        <w:commentReference w:id="20"/>
      </w:r>
    </w:p>
    <w:p w14:paraId="2E487CFA">
      <w:commentRangeStart w:id="33"/>
      <w:commentRangeStart w:id="21"/>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commentRangeStart w:id="3"/>
      <w:bookmarkStart w:id="21" w:name="auto_fouce_23"/>
      <w:r>
        <w:rPr>
          <w:rFonts w:hint="eastAsia" w:ascii="宋体" w:hAnsi="宋体" w:cs="宋体"/>
          <w:color w:val="auto"/>
          <w:szCs w:val="21"/>
          <w:highlight w:val="none"/>
        </w:rPr>
        <w:t>未经甲方书面授权，乙方不得将上述文件、资料、数据信息等应用到项目以外的用途。</w:t>
      </w:r>
      <w:commentRangeEnd w:id="3"/>
      <w:r>
        <w:rPr>
          <w:rStyle w:val="5"/>
        </w:rPr>
        <w:commentReference w:id="3"/>
      </w:r>
      <w:bookmarkEnd w:id="21"/>
      <w:commentRangeEnd w:id="21"/>
      <w:r>
        <w:commentReference w:id="21"/>
      </w:r>
      <w:commentRangeEnd w:id="33"/>
      <w:r>
        <w:commentReference w:id="33"/>
      </w:r>
    </w:p>
    <w:p w14:paraId="2DEF3E04">
      <w:commentRangeStart w:id="22"/>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commentRangeEnd w:id="22"/>
      <w:r>
        <w:commentReference w:id="22"/>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commentRangeStart w:id="2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commentRangeEnd w:id="23"/>
      <w:r>
        <w:commentReference w:id="23"/>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commentRangeStart w:id="25"/>
      <w:commentRangeStart w:id="24"/>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commentRangeEnd w:id="24"/>
      <w:r>
        <w:commentReference w:id="24"/>
      </w:r>
      <w:commentRangeEnd w:id="25"/>
      <w:r>
        <w:commentReference w:id="25"/>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commentRangeStart w:id="27"/>
      <w:commentRangeStart w:id="26"/>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commentRangeEnd w:id="26"/>
      <w:r>
        <w:commentReference w:id="26"/>
      </w:r>
      <w:commentRangeEnd w:id="27"/>
      <w:r>
        <w:commentReference w:id="27"/>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commentRangeStart w:id="2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commentRangeEnd w:id="28"/>
      <w:r>
        <w:commentReference w:id="28"/>
      </w:r>
    </w:p>
    <w:p w14:paraId="0BDC3CE8">
      <w:commentRangeStart w:id="29"/>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commentRangeEnd w:id="29"/>
      <w:r>
        <w:commentReference w:id="29"/>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commentRangeStart w:id="30"/>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commentRangeEnd w:id="30"/>
      <w:r>
        <w:commentReference w:id="30"/>
      </w:r>
    </w:p>
    <w:p w14:paraId="740EE8BD">
      <w:commentRangeStart w:id="31"/>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commentRangeEnd w:id="31"/>
      <w:r>
        <w:commentReference w:id="31"/>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 w:id="5" w:author="合同审查系统" w:date="2026-03-18T07:03:23Z">
    <w:p>
      <w:r>
        <w:t>【问题】
条款中时间要求出现无效日期：2027年11月31日，11月只有30天，该时间节点无法执行
【依据】
条款中明确写明"咨询在2027年11月31日前完成"，但11月只有30天，该日期在日历上不存在，属于无效日期；合同时间节点应当具有可执行性
【建议】
将"2027年11月31日"改为"2027年11月30日"</w:t>
      </w:r>
    </w:p>
  </w:comment>
  <w:comment w:id="6" w:author="合同审查系统" w:date="2026-03-18T07:03:23Z">
    <w:p>
      <w:r>
        <w:t>【问题】
条款承诺"为平台取得GB/T 29490贯标证书"，但贯标证书的取得需要客户内部的资源配合和管理体系建设，供应商无法独立控制
【依据】
条款明确约定供应商负责"为平台取得GB/T 29490贯标证书"，但GB/T 29490企业知识产权管理规范认证需要企业自身建立完整的知识产权管理体系并通过外部审核，供应商只能提供咨询和制度建设，无法控制认证结果；服务商不应承诺无法独立控制的结果
【建议】
将"为平台取得GB/T 29490贯标证书"改为"协助平台取得GB/T 29490贯标证书"</w:t>
      </w:r>
    </w:p>
  </w:comment>
  <w:comment w:id="7" w:author="合同审查系统" w:date="2026-03-18T07:03:23Z">
    <w:p>
      <w:r>
        <w:t>【问题】
条款约定"评估数量根据平台实际需求为准，评估数量最多能达15件"，数量取决于客户需求，供应商工作量存在不确定性
【依据】
条款约定评估数量"根据平台实际需求为准"且"最多能达15件"，未明确具体数量，供应商可能承担的工作量范围从0到15件不等；服务范围应当明确具体
【建议】
在条款中明确"双方另行确认具体评估数量"或约定"不足15件按实际数量结算，超过15件需另行协商"</w:t>
      </w:r>
    </w:p>
  </w:comment>
  <w:comment w:id="8" w:author="合同审查系统" w:date="2026-03-18T07:03:23Z">
    <w:p>
      <w:r>
        <w:t>【问题】
条款要求"具有专利代理师资格"，但未明确是否需要同时具备专利代理师执业证书，两者在法律意义上不同
【依据】
条款仅要求'具有专利代理师资格'，但根据《专利代理条例》，专利代理师需取得资格证书并经考核合格取得执业证书后方可执业，部分专利代理业务（如代理专利申请）可能要求同时具备资格和执业证书；专利代理师执业资格要求
【建议】
明确要求项目负责人'具有专利代理师资格及执业证书'</w:t>
      </w:r>
    </w:p>
  </w:comment>
  <w:comment w:id="9" w:author="合同审查系统" w:date="2026-03-18T07:03:23Z">
    <w:p>
      <w:r>
        <w:t>【问题】
条款要求团队成员"具有专利代理师资格"，但未明确是否需要同时具备专利代理师执业证书
【依据】
条款仅要求'具有专利代理师资格'，与2.1条款存在同样的资格认定模糊问题；专利代理师执业资格要求
【建议】
明确要求团队成员'具有专利代理师资格及执业证书'</w:t>
      </w:r>
    </w:p>
  </w:comment>
  <w:comment w:id="10" w:author="合同审查系统" w:date="2026-03-18T07:03:23Z">
    <w:p>
      <w:r>
        <w:t>【问题】
条款要求"根据业主要求安排服务团队"，未明确业主可要求的范围、条件和边界，供应商可能承担无限度的配合义务
【依据】
条款仅概括约定'根据业主要求安排服务团队'，未约定业主更换团队成员的条件、频率限制或费用承担方式；'保证满足项目实际需求'也未明确'满足需求'的判断标准和验收条件；服务团队稳定性与更换限制
【建议】
增加'业主更换团队成员需提前书面通知供应商'的约定</w:t>
      </w:r>
    </w:p>
  </w:comment>
  <w:comment w:id="11" w:author="合同审查系统" w:date="2026-03-18T07:03:23Z">
    <w:p>
      <w:r>
        <w:t>【问题】
条款中"如日常工作中或抽检时发现因乙方原因造成的未按合同要求及时提供服务的，甲方有权提出限期整改意见"仅提及整改意见，但未明确整改的具体标准、合规要求或验收条件
【依据】
条款中'未按合同要求及时提供服务的'这一表述未量化具体服务标准，且'整改意见'未说明需达到什么具体要求才算整改合格，乙方无法明确知晓如何避免违约；合同条款应具备明确性和可操作性
【建议】
在条款中补充'整改意见应列明具体整改要求和验收标准'</w:t>
      </w:r>
    </w:p>
  </w:comment>
  <w:comment w:id="12" w:author="合同审查系统" w:date="2026-03-18T07:03:23Z">
    <w:p>
      <w:r>
        <w:t>【问题】
条款中仅提及'限期整改意见'，但未明确整改期限的具体长度，也未约定乙方未在期限内完成整改或整改不合格时的法律后果
【依据】
条款中'限期整改意见'的'限期'未明确具体时限长度，同时未约定整改逾期或整改不达标是否构成违约、是否承担违约金、是否可被追究赔偿责任或解除合同；违约责任条款应当具体明确
【建议】
补充'整改期限由甲方根据实际情况合理确定，一般不少于5个工作日'</w:t>
      </w:r>
    </w:p>
  </w:comment>
  <w:comment w:id="13" w:author="合同审查系统" w:date="2026-03-18T07:03:23Z">
    <w:p>
      <w:r>
        <w:t>【问题】
条款仅要求"指定专职人员"但未明确人员数量、资质要求、变更通知义务等具体标准
【依据】
条款中"专职人员"一词未界定具体人数、专业资质、工作经验要求，也未约定人员变更是否需要通知甲方或经甲方同意；服务人员要求应具体明确
【建议】
明确专职人员的最低人数要求</w:t>
      </w:r>
    </w:p>
  </w:comment>
  <w:comment w:id="14" w:author="合同审查系统" w:date="2026-03-18T07:03:23Z">
    <w:p>
      <w:r>
        <w:t>【问题】
条款规定"不得以任何理由拒绝检查"，未区分合理检查与不合理检查的边界，也未设定检查的频率、范围、方式等限制
【依据】
条款中"不得以任何理由拒绝检查"的表述未设定任何例外情形，意味着即使甲方检查超出合同约定范围、频率异常或方式不当，乙方仍必须配合，无法提出异议或拒绝；合同权利义务应对等原则
【建议】
在"不得以任何理由拒绝检查"前增加"在合同约定范围内"的限定</w:t>
      </w:r>
    </w:p>
  </w:comment>
  <w:comment w:id="15" w:author="合同审查系统" w:date="2026-03-18T07:03:23Z">
    <w:p>
      <w:r>
        <w:t>【问题】
条款约定"项目验收合格后甲方向乙方支付合同总额的40%货款"，但未明确验收的具体标准、流程、时限及验收不合格的处理方式
【依据】
条款仅以"项目验收合格"作为40%尾款支付条件，但未约定验收的具体标准、验收程序、验收时限以及验收不合格时的处理方式，导致付款条件是否成就存在不确定性；付款条件应当具体明确
【建议】
补充约定验收时限（如甲方应在项目交付后X日内完成验收，逾期视为验收合格）</w:t>
      </w:r>
    </w:p>
  </w:comment>
  <w:comment w:id="16" w:author="合同审查系统" w:date="2026-03-18T07:03:23Z">
    <w:p>
      <w:r>
        <w:t>【问题】
条款约定"甲方将相应款项付至乙方下列指定账户，视为完成付款义务"，但未约定账户变更的触发条件、通知程序及生效时间
【依据】
条款明确指定了固定的收款账户，但未约定如账户变更（如银行信息变更、账户冻结等）时的处理机制，供应商缺乏灵活性；付款账户应约定变更机制
【建议】
增加条款：乙方账户信息变更时应提前书面通知甲方</w:t>
      </w:r>
    </w:p>
  </w:comment>
  <w:comment w:id="17" w:author="合同审查系统" w:date="2026-03-18T07:03:23Z">
    <w:p>
      <w:r>
        <w:t>【问题】
条款要求乙方获得甲方同意，但未约定甲方答复的具体时限
【依据】
条款仅规定乙方需“获得甲方同意”，但未明确甲方必须在收到书面通知后多少时间内作出同意或不同意的答复；相对方义务应对等明确
【建议】
补充约定“甲方应在收到书面通知后5个工作日内书面回复”</w:t>
      </w:r>
    </w:p>
  </w:comment>
  <w:comment w:id="18" w:author="合同审查系统" w:date="2026-03-18T07:03:23Z">
    <w:p>
      <w:r>
        <w:t>【问题】
条款使用“甲方原因”这一概括性表述，但未界定具体范围或情形
【依据】
条款仅概括性提及“甲方原因”，未列举具体情形或明确界定哪些情况属于甲方原因导致的变更或延误；关键术语应具体明确
【建议】
列举3-5种典型的甲方原因情形</w:t>
      </w:r>
    </w:p>
  </w:comment>
  <w:comment w:id="19" w:author="合同审查系统" w:date="2026-03-18T07:03:23Z">
    <w:p>
      <w:r>
        <w:t>【问题】
条款以“周到、及时服务”作为违约认定标准，但未设定具体可衡量的服务要求
【依据】
条款中“周到、及时服务”属于主观性描述，缺乏具体可量化的判断标准，如响应时间、解决时限等；违约条款应具体可操作
【建议】
约定具体的服务响应时间（如2小时内响应）和问题解决时限（如24小时内解决）</w:t>
      </w:r>
    </w:p>
  </w:comment>
  <w:comment w:id="20" w:author="合同审查系统" w:date="2026-03-18T07:03:23Z">
    <w:p>
      <w:r>
        <w:t>【问题】
条款约定本项目所有文件、资料、数据信息的所有权均属甲方所有，未约定乙方的合理使用范围或保留权利
【依据】
条款明确约定由乙方实施产生的所有知识产权归甲方独占所有，乙方对自己的智力劳动成果不保留任何权利；知识产权归属应平衡双方利益
【建议】
补充约定乙方有权在保密前提下将项目成果用于自身案例展示</w:t>
      </w:r>
    </w:p>
  </w:comment>
  <w:comment w:id="21" w:author="合同审查系统" w:date="2026-03-18T07:03:23Z">
    <w:p>
      <w:r>
        <w:t>【问题】
条款要求未经甲方书面授权，乙方不得将项目文件资料用于项目以外用途
【依据】
条款禁止乙方将任何项目相关成果用于项目外用途，且必须获得甲方书面授权；供应商应有合理使用项目经验的自由
【建议】
约定乙方可将通用技术方法用于其他项目</w:t>
      </w:r>
    </w:p>
  </w:comment>
  <w:comment w:id="22" w:author="合同审查系统" w:date="2026-03-18T07:03:23Z">
    <w:p>
      <w:r>
        <w:t>【问题】
条款约定因乙方原因造成甲方知识产权被侵害，乙方赔偿一切损失，未设定赔偿上限
【依据】
条款明确乙方对甲方知识产权侵权承担"一切损失"赔偿责任，未限定金额或比例；违约责任应当合理限定
【建议】
约定赔偿范围限于直接损失且设定上限</w:t>
      </w:r>
    </w:p>
  </w:comment>
  <w:comment w:id="23" w:author="合同审查系统" w:date="2026-03-18T07:03:23Z">
    <w:p>
      <w:r>
        <w:t>【问题】
条款约定乙方原因引起的知识产权侵权由乙方自行承担一切法律责任，甲方不承担任何责任
【依据】
条款明确甲方对任何知识产权侵权完全免责，所有责任费用由乙方承担；双方责任应当对等
【建议】
约定甲方对提供的素材承担知识产权瑕疵担保责任</w:t>
      </w:r>
    </w:p>
  </w:comment>
  <w:comment w:id="24" w:author="合同审查系统" w:date="2026-03-18T07:03:23Z">
    <w:p>
      <w:r>
        <w:t>【问题】
条款仅规定延长履行期限和解除合同的条件，但未规定受影响方在发生不可抗力时的通知义务和通知期限
【依据】
条款正文完整未包含任何关于通知对方、提交证明材料、说明受影响程度等义务的表述，缺失不可抗力通知条款的完整要素；不可抗力条款应包含通知义务和证明要求
【建议】
补充：发生不可抗力一方应在事故发生后5个工作日内书面通知对方</w:t>
      </w:r>
    </w:p>
  </w:comment>
  <w:comment w:id="25" w:author="合同审查系统" w:date="2026-03-18T07:03:23Z">
    <w:p>
      <w:r>
        <w:t>【问题】
条款未约定不可抗力事件的证明方式、证明标准及证明材料提交期限
【依据】
条款仅定义了不可抗力的概念，但未规定主张不可抗力一方需要提交何种证明材料、由谁出具证明、证明的标准是什么；不可抗力条款应明确证明要求
【建议】
补充：主张不可抗力一方应提供相关证明材料</w:t>
      </w:r>
    </w:p>
  </w:comment>
  <w:comment w:id="26" w:author="合同审查系统" w:date="2026-03-18T07:03:23Z">
    <w:p>
      <w:r>
        <w:t>【问题】
条款中“所有秘密信息”未明确界定具体范围，导致保密义务边界模糊
【依据】
条款使用“所有秘密信息”这一概括性表述，未对保密信息的定义、范围、分类进行明确界定，导致供应商无法准确识别需要保密的具体信息类型；保密信息范围应具体明确
【建议】
在条款中增加保密信息的定义，明确列举需要保密的具体信息类型</w:t>
      </w:r>
    </w:p>
  </w:comment>
  <w:comment w:id="27" w:author="合同审查系统" w:date="2026-03-18T07:03:23Z">
    <w:p>
      <w:r>
        <w:t>【问题】
条款规定未经甲方同意不得自行使用保密信息，但未约定供应商为履行合同目的而合理使用保密信息的例外情形
【依据】
条款完全禁止供应商自行使用保密信息，未设置任何例外条款，而供应商为完成合同约定的服务内容通常需要使用甲方提供的业务资料和技术资料；合同履行目的的使用权应得到保障
【建议】
增加“乙方为履行本合同义务而使用保密信息的，不视为违反本条约定”</w:t>
      </w:r>
    </w:p>
  </w:comment>
  <w:comment w:id="28" w:author="合同审查系统" w:date="2026-03-18T07:03:23Z">
    <w:p>
      <w:r>
        <w:t>【问题】
条款仅约定“应承担相应法律责任”但未明确具体责任形式、范围或计算方式
【依据】
条款使用“相应法律责任”这一概括性表述，未约定具体的违约责任承担方式、赔偿范围、计算标准或责任上限；违约责任应具体明确
【建议】
增加“乙方违反本条约定的，应赔偿甲方因此遭受的直接损失”</w:t>
      </w:r>
    </w:p>
  </w:comment>
  <w:comment w:id="29" w:author="合同审查系统" w:date="2026-03-18T07:03:23Z">
    <w:p>
      <w:r>
        <w:t>【问题】
条款约定保密效力不受合同效力影响，实质上使保密义务永久有效，缺乏合理的时间限制
【依据】
该条款使保密义务在合同终止、解除或到期后仍然永久有效，供应商将承担无限期的保密义务；保密义务应有合理期限
【建议】
增加“本条约定的保密义务在合同终止后2年内仍然有效”</w:t>
      </w:r>
    </w:p>
  </w:comment>
  <w:comment w:id="30" w:author="合同审查系统" w:date="2026-03-18T07:03:23Z">
    <w:p>
      <w:r>
        <w:t>【问题】
条款明确约定争议按第1种方式处理（诉讼），排除了仲裁选项；且诉讼管辖约定为甲方所在地人民法院，对供应商不利
【依据】
条款明确约定争议解决方式为'第1种方式'即向甲方所在地人民法院起诉，第2种仲裁方式被排除。供应商在争议发生时只能向甲方所在地法院提起诉讼；争议管辖约定应对等或有利于供应商
【建议】
保留仲裁选项，约定可向嘉兴市仲裁委员会申请仲裁</w:t>
      </w:r>
    </w:p>
  </w:comment>
  <w:comment w:id="31" w:author="合同审查系统" w:date="2026-03-18T07:03:23Z">
    <w:p>
      <w:r>
        <w:t>【问题】
条款明确约定争议向甲方所在地人民法院起诉，未约定任何对等或可选的管辖法院
【依据】
条款明确约定诉讼管辖法院为甲方所在地人民法院，未提供其他选项或对等安排；管辖法院约定应对等或有利于供应商
【建议】
增加仲裁选项，允许供应商选择仲裁</w:t>
      </w:r>
    </w:p>
  </w:comment>
  <w:comment w:id="32" w:author="合同审查系统" w:date="2026-03-18T07:03:23Z">
    <w:p>
      <w:r>
        <w:t>【问题】
合同3.2条款赋予甲方随时监控权，3.3条款约定验收不合格的违约金（每次追加验收5%），6.3条款约定服务不及时的违约金（合同总额5%），但未约定违约金总额上限，可能导致多次违约情形下违约金累积
【依据】
涉及条款组合关系：(1)3.2条款赋予甲方随时监控权和整改要求权；(2)3.3条款约定每次追加验收不合格支付5%违约金；(3)6.3条款约定未及时服务支付5%违约金；(4)合同中未约定违约金总额上限或累计上限；违约责任边界应明确且可控制
【建议】
在合同中约定违约金总额的上限，如约定累计违约金不超过合同总价的30%</w:t>
      </w:r>
    </w:p>
  </w:comment>
  <w:comment w:id="33" w:author="合同审查系统" w:date="2026-03-18T07:03:23Z">
    <w:p>
      <w:r>
        <w:t>【问题】
合同7.1条款约定项目成果全部归甲方所有，7.2条款禁止乙方未经授权将项目成果用于其他用途，但7.5条款约定乙方原因导致的知识产权侵权由乙方自行承担责任，三者联动可能导致乙方陷入知识产权使用困境
【依据】
涉及条款组合关系：(1)7.1条款约定项目成果所有权归甲方；(2)7.2条款限制乙方使用项目成果的范围；(3)7.5条款约定乙方对知识产权侵权承担全部责任；(4)三者联动形成矛盾：乙方需对侵权负责但却无法自主使用相关成果进行风险排查；知识产权使用与责任分配应形成合理对应
【建议】
在合同中明确约定乙方为完成项目目的使用项目成果的权利，并约定知识产权侵权责任的分担机制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