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8512A">
      <w:pPr>
        <w:adjustRightInd w:val="0"/>
        <w:snapToGrid w:val="0"/>
        <w:spacing w:line="360" w:lineRule="auto"/>
        <w:jc w:val="center"/>
        <w:rPr>
          <w:color w:val="auto"/>
          <w:highlight w:val="none"/>
        </w:rPr>
      </w:pPr>
      <w:r>
        <w:rPr>
          <w:rFonts w:hint="eastAsia" w:ascii="黑体" w:hAnsi="黑体" w:eastAsia="黑体"/>
          <w:b/>
          <w:color w:val="auto"/>
          <w:sz w:val="52"/>
          <w:szCs w:val="28"/>
          <w:highlight w:val="none"/>
        </w:rPr>
        <w:t>检测服务合同</w:t>
      </w:r>
    </w:p>
    <w:p w14:paraId="1281F1AA">
      <w:pPr>
        <w:adjustRightInd w:val="0"/>
        <w:snapToGrid w:val="0"/>
        <w:spacing w:line="300" w:lineRule="auto"/>
        <w:rPr>
          <w:rFonts w:hint="default" w:asciiTheme="minorEastAsia" w:hAnsiTheme="minorEastAsia" w:eastAsiaTheme="minorEastAsia"/>
          <w:color w:val="auto"/>
          <w:sz w:val="24"/>
          <w:szCs w:val="24"/>
          <w:highlight w:val="none"/>
          <w:lang w:val="en-US" w:eastAsia="zh-CN"/>
        </w:rPr>
      </w:pPr>
      <w:r>
        <w:rPr>
          <w:rFonts w:hint="eastAsia" w:asciiTheme="minorEastAsia" w:hAnsiTheme="minorEastAsia"/>
          <w:color w:val="auto"/>
          <w:sz w:val="24"/>
          <w:szCs w:val="24"/>
          <w:highlight w:val="none"/>
        </w:rPr>
        <w:t>委 托 方：（甲方）</w:t>
      </w:r>
      <w:r>
        <w:rPr>
          <w:rFonts w:hint="eastAsia" w:asciiTheme="minorEastAsia" w:hAnsiTheme="minorEastAsia"/>
          <w:color w:val="auto"/>
          <w:sz w:val="24"/>
          <w:szCs w:val="24"/>
          <w:highlight w:val="none"/>
          <w:lang w:val="en-US" w:eastAsia="zh-CN"/>
        </w:rPr>
        <w:t>南湖实验室</w:t>
      </w:r>
    </w:p>
    <w:p w14:paraId="09DF3FC0">
      <w:pPr>
        <w:adjustRightInd w:val="0"/>
        <w:snapToGrid w:val="0"/>
        <w:spacing w:line="300" w:lineRule="auto"/>
        <w:rPr>
          <w:rFonts w:hint="default" w:asciiTheme="minorEastAsia" w:hAnsiTheme="minorEastAsia" w:eastAsiaTheme="minorEastAsia"/>
          <w:color w:val="auto"/>
          <w:sz w:val="24"/>
          <w:szCs w:val="24"/>
          <w:highlight w:val="none"/>
          <w:lang w:val="en-US" w:eastAsia="zh-CN"/>
        </w:rPr>
      </w:pPr>
      <w:r>
        <w:rPr>
          <w:rFonts w:hint="eastAsia" w:asciiTheme="minorEastAsia" w:hAnsiTheme="minorEastAsia"/>
          <w:color w:val="auto"/>
          <w:sz w:val="24"/>
          <w:szCs w:val="24"/>
          <w:highlight w:val="none"/>
        </w:rPr>
        <w:t>检测单位：（乙方）</w:t>
      </w:r>
      <w:r>
        <w:rPr>
          <w:rFonts w:hint="eastAsia" w:asciiTheme="minorEastAsia" w:hAnsiTheme="minorEastAsia"/>
          <w:color w:val="auto"/>
          <w:sz w:val="24"/>
          <w:szCs w:val="24"/>
          <w:highlight w:val="none"/>
          <w:lang w:val="en-US" w:eastAsia="zh-CN"/>
        </w:rPr>
        <w:t>中国电子技术标准化研究院</w:t>
      </w:r>
    </w:p>
    <w:p w14:paraId="1B724A6B">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依据《中华人民共和国民法典》和相关法律规定，应甲方要求，乙方承担</w:t>
      </w:r>
      <w:r>
        <w:rPr>
          <w:rFonts w:hint="eastAsia" w:cs="Times New Roman" w:asciiTheme="minorEastAsia" w:hAnsiTheme="minorEastAsia"/>
          <w:snapToGrid w:val="0"/>
          <w:color w:val="auto"/>
          <w:kern w:val="0"/>
          <w:sz w:val="24"/>
          <w:szCs w:val="24"/>
          <w:highlight w:val="none"/>
          <w:u w:val="single"/>
          <w:lang w:eastAsia="zh-CN"/>
        </w:rPr>
        <w:t>“机密计算与可信执行环境关键技术和应用研究项目”</w:t>
      </w:r>
      <w:r>
        <w:rPr>
          <w:rFonts w:hint="eastAsia" w:cs="Times New Roman" w:asciiTheme="minorEastAsia" w:hAnsiTheme="minorEastAsia"/>
          <w:snapToGrid w:val="0"/>
          <w:color w:val="auto"/>
          <w:kern w:val="0"/>
          <w:sz w:val="24"/>
          <w:szCs w:val="24"/>
          <w:highlight w:val="none"/>
          <w:u w:val="single"/>
          <w:lang w:val="en-US" w:eastAsia="zh-CN"/>
        </w:rPr>
        <w:t>所研发的</w:t>
      </w:r>
      <w:r>
        <w:rPr>
          <w:rFonts w:hint="eastAsia" w:cs="Times New Roman" w:asciiTheme="minorEastAsia" w:hAnsiTheme="minorEastAsia"/>
          <w:snapToGrid w:val="0"/>
          <w:color w:val="auto"/>
          <w:kern w:val="0"/>
          <w:sz w:val="24"/>
          <w:szCs w:val="24"/>
          <w:highlight w:val="none"/>
          <w:u w:val="single"/>
          <w:lang w:eastAsia="zh-CN"/>
        </w:rPr>
        <w:t>“可信执行环境和同态加密混合国产异构系统</w:t>
      </w:r>
      <w:r>
        <w:rPr>
          <w:rFonts w:hint="eastAsia" w:cs="Times New Roman" w:asciiTheme="minorEastAsia" w:hAnsiTheme="minorEastAsia"/>
          <w:snapToGrid w:val="0"/>
          <w:color w:val="auto"/>
          <w:kern w:val="0"/>
          <w:sz w:val="24"/>
          <w:szCs w:val="24"/>
          <w:highlight w:val="none"/>
          <w:u w:val="single"/>
        </w:rPr>
        <w:t>”</w:t>
      </w:r>
      <w:r>
        <w:rPr>
          <w:rFonts w:hint="eastAsia" w:asciiTheme="minorEastAsia" w:hAnsiTheme="minorEastAsia"/>
          <w:color w:val="auto"/>
          <w:sz w:val="24"/>
          <w:szCs w:val="24"/>
          <w:highlight w:val="none"/>
          <w:lang w:val="en-US" w:eastAsia="zh-CN"/>
        </w:rPr>
        <w:t>中的</w:t>
      </w:r>
      <w:r>
        <w:rPr>
          <w:rFonts w:hint="eastAsia" w:asciiTheme="minorEastAsia" w:hAnsiTheme="minorEastAsia"/>
          <w:color w:val="auto"/>
          <w:sz w:val="24"/>
          <w:szCs w:val="24"/>
          <w:highlight w:val="none"/>
          <w:u w:val="single"/>
          <w:lang w:val="en-US" w:eastAsia="zh-CN"/>
        </w:rPr>
        <w:t>“基于可信执行环境的同态加密计算加速系统”</w:t>
      </w:r>
      <w:r>
        <w:rPr>
          <w:rFonts w:hint="eastAsia" w:cs="Times New Roman" w:asciiTheme="minorEastAsia" w:hAnsiTheme="minorEastAsia"/>
          <w:snapToGrid w:val="0"/>
          <w:kern w:val="0"/>
          <w:sz w:val="24"/>
          <w:szCs w:val="24"/>
        </w:rPr>
        <w:t>系统/</w:t>
      </w:r>
      <w:r>
        <w:rPr>
          <w:rFonts w:hint="eastAsia" w:asciiTheme="minorEastAsia" w:hAnsiTheme="minorEastAsia"/>
          <w:sz w:val="24"/>
          <w:szCs w:val="24"/>
        </w:rPr>
        <w:t>产品</w:t>
      </w:r>
      <w:r>
        <w:rPr>
          <w:rFonts w:hint="eastAsia" w:asciiTheme="minorEastAsia" w:hAnsiTheme="minorEastAsia"/>
          <w:color w:val="auto"/>
          <w:sz w:val="24"/>
          <w:szCs w:val="24"/>
          <w:highlight w:val="none"/>
        </w:rPr>
        <w:t>的</w:t>
      </w:r>
      <w:r>
        <w:rPr>
          <w:rFonts w:hint="eastAsia" w:asciiTheme="minorEastAsia" w:hAnsiTheme="minorEastAsia"/>
          <w:color w:val="auto"/>
          <w:sz w:val="24"/>
          <w:szCs w:val="24"/>
          <w:highlight w:val="none"/>
          <w:lang w:val="en-US" w:eastAsia="zh-CN"/>
        </w:rPr>
        <w:t>验收</w:t>
      </w:r>
      <w:r>
        <w:rPr>
          <w:rFonts w:hint="eastAsia" w:asciiTheme="minorEastAsia" w:hAnsiTheme="minorEastAsia"/>
          <w:color w:val="auto"/>
          <w:sz w:val="24"/>
          <w:szCs w:val="24"/>
          <w:highlight w:val="none"/>
        </w:rPr>
        <w:t>检测服务工作，经协商达成一致，签订本合同。</w:t>
      </w:r>
    </w:p>
    <w:p w14:paraId="1C82C40B">
      <w:pPr>
        <w:rPr>
          <w:color w:val="auto"/>
          <w:sz w:val="24"/>
          <w:szCs w:val="24"/>
          <w:highlight w:val="none"/>
        </w:rPr>
      </w:pPr>
    </w:p>
    <w:p w14:paraId="3053AEC8">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第一条</w:t>
      </w:r>
      <w:r>
        <w:rPr>
          <w:rFonts w:hint="eastAsia" w:cs="Times New Roman" w:asciiTheme="minorEastAsia" w:hAnsiTheme="minorEastAsia"/>
          <w:b/>
          <w:snapToGrid w:val="0"/>
          <w:color w:val="auto"/>
          <w:kern w:val="0"/>
          <w:sz w:val="24"/>
          <w:szCs w:val="24"/>
          <w:highlight w:val="none"/>
          <w:lang w:val="en-US" w:eastAsia="zh-CN"/>
        </w:rPr>
        <w:t xml:space="preserve"> </w:t>
      </w:r>
      <w:r>
        <w:rPr>
          <w:rFonts w:hint="eastAsia" w:cs="Times New Roman" w:asciiTheme="minorEastAsia" w:hAnsiTheme="minorEastAsia"/>
          <w:b/>
          <w:snapToGrid w:val="0"/>
          <w:color w:val="auto"/>
          <w:kern w:val="0"/>
          <w:sz w:val="24"/>
          <w:szCs w:val="24"/>
          <w:highlight w:val="none"/>
        </w:rPr>
        <w:t>测试周期</w:t>
      </w:r>
    </w:p>
    <w:p w14:paraId="003C0BBC">
      <w:commentRangeStart w:id="12"/>
      <w:commentRangeStart w:id="0"/>
      <w:pPr>
        <w:adjustRightInd w:val="0"/>
        <w:snapToGrid w:val="0"/>
        <w:spacing w:line="300" w:lineRule="auto"/>
        <w:ind w:firstLine="480" w:firstLineChars="200"/>
        <w:rPr>
          <w:rFonts w:hint="eastAsia" w:cs="Times New Roman" w:asciiTheme="minorEastAsia" w:hAnsiTheme="minorEastAsia"/>
          <w:snapToGrid w:val="0"/>
          <w:color w:val="auto"/>
          <w:kern w:val="0"/>
          <w:sz w:val="24"/>
          <w:szCs w:val="24"/>
          <w:highlight w:val="none"/>
        </w:rPr>
      </w:pPr>
      <w:bookmarkStart w:id="0" w:name="auto_fouce_1"/>
      <w:r>
        <w:rPr>
          <w:rFonts w:hint="eastAsia" w:cs="Times New Roman" w:asciiTheme="minorEastAsia" w:hAnsiTheme="minorEastAsia"/>
          <w:snapToGrid w:val="0"/>
          <w:color w:val="auto"/>
          <w:kern w:val="0"/>
          <w:sz w:val="24"/>
          <w:szCs w:val="24"/>
          <w:highlight w:val="none"/>
        </w:rPr>
        <w:t>自</w:t>
      </w:r>
      <w:r>
        <w:rPr>
          <w:rFonts w:hint="eastAsia" w:cs="Times New Roman" w:asciiTheme="minorEastAsia" w:hAnsiTheme="minorEastAsia"/>
          <w:snapToGrid w:val="0"/>
          <w:color w:val="auto"/>
          <w:kern w:val="0"/>
          <w:sz w:val="24"/>
          <w:szCs w:val="24"/>
          <w:highlight w:val="none"/>
          <w:lang w:val="en-US" w:eastAsia="zh-CN"/>
        </w:rPr>
        <w:t>受测件接收</w:t>
      </w:r>
      <w:r>
        <w:rPr>
          <w:rFonts w:hint="eastAsia" w:cs="Times New Roman" w:asciiTheme="minorEastAsia" w:hAnsiTheme="minorEastAsia"/>
          <w:snapToGrid w:val="0"/>
          <w:color w:val="auto"/>
          <w:kern w:val="0"/>
          <w:sz w:val="24"/>
          <w:szCs w:val="24"/>
          <w:highlight w:val="none"/>
        </w:rPr>
        <w:t>开始起</w:t>
      </w:r>
      <w:r>
        <w:rPr>
          <w:rFonts w:hint="eastAsia" w:cs="Times New Roman" w:asciiTheme="minorEastAsia" w:hAnsiTheme="minorEastAsia"/>
          <w:snapToGrid w:val="0"/>
          <w:color w:val="auto"/>
          <w:kern w:val="0"/>
          <w:sz w:val="24"/>
          <w:szCs w:val="24"/>
          <w:highlight w:val="none"/>
          <w:u w:val="single"/>
        </w:rPr>
        <w:t xml:space="preserve"> </w:t>
      </w:r>
      <w:r>
        <w:rPr>
          <w:rFonts w:hint="eastAsia" w:cs="Times New Roman" w:asciiTheme="minorEastAsia" w:hAnsiTheme="minorEastAsia"/>
          <w:snapToGrid w:val="0"/>
          <w:color w:val="auto"/>
          <w:kern w:val="0"/>
          <w:sz w:val="24"/>
          <w:szCs w:val="24"/>
          <w:highlight w:val="none"/>
          <w:u w:val="single"/>
          <w:lang w:val="en-US" w:eastAsia="zh-CN"/>
        </w:rPr>
        <w:t>3</w:t>
      </w:r>
      <w:r>
        <w:rPr>
          <w:rFonts w:hint="eastAsia" w:cs="Times New Roman" w:asciiTheme="minorEastAsia" w:hAnsiTheme="minorEastAsia"/>
          <w:snapToGrid w:val="0"/>
          <w:color w:val="auto"/>
          <w:kern w:val="0"/>
          <w:sz w:val="24"/>
          <w:szCs w:val="24"/>
          <w:highlight w:val="none"/>
          <w:u w:val="single"/>
        </w:rPr>
        <w:t xml:space="preserve">0 </w:t>
      </w:r>
      <w:r>
        <w:rPr>
          <w:rFonts w:hint="eastAsia" w:cs="Times New Roman" w:asciiTheme="minorEastAsia" w:hAnsiTheme="minorEastAsia"/>
          <w:snapToGrid w:val="0"/>
          <w:color w:val="auto"/>
          <w:kern w:val="0"/>
          <w:sz w:val="24"/>
          <w:szCs w:val="24"/>
          <w:highlight w:val="none"/>
        </w:rPr>
        <w:t>天完成。</w:t>
      </w:r>
      <w:bookmarkEnd w:id="0"/>
      <w:commentRangeEnd w:id="0"/>
      <w:r>
        <w:commentReference w:id="0"/>
      </w:r>
      <w:commentRangeEnd w:id="12"/>
      <w:r>
        <w:commentReference w:id="12"/>
      </w:r>
    </w:p>
    <w:p w14:paraId="2C90216F">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第二条 检测和咨询内容</w:t>
      </w:r>
    </w:p>
    <w:p w14:paraId="0101BE89">
      <w:commentRangeStart w:id="1"/>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lang w:val="en-US" w:eastAsia="zh-CN"/>
        </w:rPr>
      </w:pPr>
      <w:bookmarkStart w:id="1" w:name="tip_risk_bookmark_2"/>
      <w:bookmarkStart w:id="2" w:name="auto_fouce_3"/>
      <w:r>
        <w:rPr>
          <w:rFonts w:hint="eastAsia" w:cs="Times New Roman" w:asciiTheme="minorEastAsia" w:hAnsiTheme="minorEastAsia"/>
          <w:snapToGrid w:val="0"/>
          <w:color w:val="auto"/>
          <w:kern w:val="0"/>
          <w:sz w:val="24"/>
          <w:szCs w:val="24"/>
          <w:highlight w:val="none"/>
        </w:rPr>
        <w:t>甲方委托乙方,参照</w:t>
      </w:r>
      <w:r>
        <w:rPr>
          <w:rFonts w:hint="eastAsia" w:cs="Times New Roman" w:asciiTheme="minorEastAsia" w:hAnsiTheme="minorEastAsia"/>
          <w:snapToGrid w:val="0"/>
          <w:color w:val="auto"/>
          <w:kern w:val="0"/>
          <w:sz w:val="24"/>
          <w:szCs w:val="24"/>
          <w:highlight w:val="none"/>
          <w:u w:val="none"/>
          <w:lang w:val="en-US" w:eastAsia="zh-CN"/>
        </w:rPr>
        <w:t>“甲方提供的验收指标”（详见附件），</w:t>
      </w:r>
      <w:r>
        <w:rPr>
          <w:rFonts w:hint="eastAsia" w:cs="Times New Roman" w:asciiTheme="minorEastAsia" w:hAnsiTheme="minorEastAsia"/>
          <w:snapToGrid w:val="0"/>
          <w:color w:val="auto"/>
          <w:kern w:val="0"/>
          <w:sz w:val="24"/>
          <w:szCs w:val="24"/>
          <w:highlight w:val="none"/>
          <w:lang w:val="en-US" w:eastAsia="zh-CN"/>
        </w:rPr>
        <w:t>针对甲方提供的基于可信执行环境的同态加密计算加速系统V1.</w:t>
      </w:r>
      <w:bookmarkStart w:id="3" w:name="OLE_LINK17"/>
      <w:r>
        <w:rPr>
          <w:rFonts w:hint="eastAsia" w:cs="Times New Roman" w:asciiTheme="minorEastAsia" w:hAnsiTheme="minorEastAsia"/>
          <w:snapToGrid w:val="0"/>
          <w:color w:val="auto"/>
          <w:kern w:val="0"/>
          <w:sz w:val="24"/>
          <w:szCs w:val="24"/>
          <w:highlight w:val="none"/>
          <w:lang w:val="en-US" w:eastAsia="zh-CN"/>
        </w:rPr>
        <w:t>0，</w:t>
      </w:r>
      <w:bookmarkEnd w:id="3"/>
      <w:r>
        <w:rPr>
          <w:rFonts w:hint="eastAsia" w:cs="Times New Roman" w:asciiTheme="minorEastAsia" w:hAnsiTheme="minorEastAsia"/>
          <w:snapToGrid w:val="0"/>
          <w:color w:val="auto"/>
          <w:kern w:val="0"/>
          <w:sz w:val="24"/>
          <w:szCs w:val="24"/>
          <w:highlight w:val="none"/>
          <w:lang w:val="en-US" w:eastAsia="zh-CN"/>
        </w:rPr>
        <w:t>完成基于TEE和</w:t>
      </w:r>
      <w:bookmarkStart w:id="14" w:name="_GoBack"/>
      <w:bookmarkEnd w:id="14"/>
      <w:r>
        <w:rPr>
          <w:rFonts w:hint="eastAsia" w:cs="Times New Roman" w:asciiTheme="minorEastAsia" w:hAnsiTheme="minorEastAsia"/>
          <w:snapToGrid w:val="0"/>
          <w:color w:val="auto"/>
          <w:kern w:val="0"/>
          <w:sz w:val="24"/>
          <w:szCs w:val="24"/>
          <w:highlight w:val="none"/>
          <w:lang w:val="en-US" w:eastAsia="zh-CN"/>
        </w:rPr>
        <w:t>异构计算的同态加密加速技术（2022YFB4501502）中对应指标1.6的关键技术验证测试，并向甲方出具1份检测报告（检测报告要求加盖CNAS测试章）。测试依据为GB/T 25000.51-2016《系统与软件工程系统与软件质量要求和评价（SQuaRE）第51部分：就绪可用软件产品（RUSP）的质量要求和测试细则》及“机密计算与可信执行环境关键技术和应用研究项目”第三方测试大纲</w:t>
      </w:r>
      <w:r>
        <w:rPr>
          <w:rFonts w:hint="eastAsia" w:cs="Times New Roman" w:asciiTheme="minorEastAsia" w:hAnsiTheme="minorEastAsia"/>
          <w:snapToGrid w:val="0"/>
          <w:color w:val="C00000"/>
          <w:kern w:val="0"/>
          <w:sz w:val="24"/>
          <w:szCs w:val="24"/>
          <w:highlight w:val="none"/>
          <w:lang w:val="en-US" w:eastAsia="zh-CN"/>
        </w:rPr>
        <w:t>V1.0版本</w:t>
      </w:r>
      <w:r>
        <w:rPr>
          <w:rFonts w:hint="eastAsia" w:cs="Times New Roman" w:asciiTheme="minorEastAsia" w:hAnsiTheme="minorEastAsia"/>
          <w:snapToGrid w:val="0"/>
          <w:color w:val="auto"/>
          <w:kern w:val="0"/>
          <w:sz w:val="24"/>
          <w:szCs w:val="24"/>
          <w:highlight w:val="none"/>
          <w:lang w:val="en-US" w:eastAsia="zh-CN"/>
        </w:rPr>
        <w:t>。</w:t>
      </w:r>
      <w:bookmarkEnd w:id="1"/>
      <w:bookmarkEnd w:id="2"/>
      <w:commentRangeEnd w:id="1"/>
      <w:r>
        <w:commentReference w:id="1"/>
      </w:r>
    </w:p>
    <w:p w14:paraId="18F50DC4">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lang w:val="en-US" w:eastAsia="zh-CN"/>
        </w:rPr>
      </w:pPr>
      <w:r>
        <w:rPr>
          <w:rFonts w:hint="eastAsia" w:cs="Times New Roman" w:asciiTheme="minorEastAsia" w:hAnsiTheme="minorEastAsia"/>
          <w:snapToGrid w:val="0"/>
          <w:color w:val="auto"/>
          <w:kern w:val="0"/>
          <w:sz w:val="24"/>
          <w:szCs w:val="24"/>
          <w:highlight w:val="none"/>
          <w:lang w:val="en-US" w:eastAsia="zh-CN"/>
        </w:rPr>
        <w:t>课题及对应测试对象如下：</w:t>
      </w:r>
    </w:p>
    <w:tbl>
      <w:tblPr>
        <w:tblStyle w:val="8"/>
        <w:tblW w:w="87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2"/>
        <w:gridCol w:w="2409"/>
        <w:gridCol w:w="2127"/>
        <w:gridCol w:w="3327"/>
      </w:tblGrid>
      <w:tr w14:paraId="7AC4372F">
        <w:trPr>
          <w:trHeight w:val="300" w:hRule="atLeast"/>
          <w:jc w:val="center"/>
        </w:trPr>
        <w:tc>
          <w:tcPr>
            <w:tcW w:w="882" w:type="dxa"/>
            <w:tcBorders>
              <w:top w:val="single" w:color="auto" w:sz="4" w:space="0"/>
              <w:left w:val="single" w:color="auto" w:sz="4" w:space="0"/>
              <w:bottom w:val="single" w:color="auto" w:sz="4" w:space="0"/>
              <w:right w:val="single" w:color="auto" w:sz="4" w:space="0"/>
            </w:tcBorders>
            <w:vAlign w:val="center"/>
          </w:tcPr>
          <w:p w14:paraId="7DA7F834">
            <w:pPr>
              <w:tabs>
                <w:tab w:val="left" w:pos="7350"/>
              </w:tabs>
              <w:spacing w:line="360" w:lineRule="auto"/>
              <w:jc w:val="center"/>
              <w:rPr>
                <w:b/>
                <w:bCs/>
                <w:color w:val="EE0000"/>
                <w:szCs w:val="21"/>
              </w:rPr>
            </w:pPr>
            <w:r>
              <w:rPr>
                <w:rFonts w:hint="eastAsia"/>
                <w:b/>
                <w:bCs/>
                <w:color w:val="EE0000"/>
                <w:szCs w:val="21"/>
              </w:rPr>
              <w:t>编号</w:t>
            </w:r>
          </w:p>
        </w:tc>
        <w:tc>
          <w:tcPr>
            <w:tcW w:w="2409" w:type="dxa"/>
            <w:tcBorders>
              <w:top w:val="single" w:color="auto" w:sz="4" w:space="0"/>
              <w:left w:val="single" w:color="auto" w:sz="4" w:space="0"/>
              <w:bottom w:val="single" w:color="auto" w:sz="4" w:space="0"/>
              <w:right w:val="single" w:color="auto" w:sz="4" w:space="0"/>
            </w:tcBorders>
            <w:vAlign w:val="center"/>
          </w:tcPr>
          <w:p w14:paraId="123BF063">
            <w:pPr>
              <w:tabs>
                <w:tab w:val="left" w:pos="7350"/>
              </w:tabs>
              <w:spacing w:line="360" w:lineRule="auto"/>
              <w:jc w:val="center"/>
              <w:rPr>
                <w:b/>
                <w:bCs/>
                <w:color w:val="EE0000"/>
                <w:szCs w:val="21"/>
              </w:rPr>
            </w:pPr>
            <w:r>
              <w:rPr>
                <w:rFonts w:hint="eastAsia"/>
                <w:b/>
                <w:bCs/>
                <w:color w:val="EE0000"/>
                <w:szCs w:val="21"/>
              </w:rPr>
              <w:t>项目/课题名称</w:t>
            </w:r>
          </w:p>
        </w:tc>
        <w:tc>
          <w:tcPr>
            <w:tcW w:w="2127" w:type="dxa"/>
            <w:tcBorders>
              <w:top w:val="single" w:color="auto" w:sz="4" w:space="0"/>
              <w:left w:val="single" w:color="auto" w:sz="4" w:space="0"/>
              <w:bottom w:val="single" w:color="auto" w:sz="4" w:space="0"/>
              <w:right w:val="single" w:color="auto" w:sz="4" w:space="0"/>
            </w:tcBorders>
            <w:vAlign w:val="center"/>
          </w:tcPr>
          <w:p w14:paraId="683D6A10">
            <w:pPr>
              <w:tabs>
                <w:tab w:val="left" w:pos="7350"/>
              </w:tabs>
              <w:spacing w:line="360" w:lineRule="auto"/>
              <w:jc w:val="center"/>
              <w:rPr>
                <w:b/>
                <w:bCs/>
                <w:color w:val="EE0000"/>
                <w:szCs w:val="21"/>
              </w:rPr>
            </w:pPr>
            <w:r>
              <w:rPr>
                <w:rFonts w:hint="eastAsia"/>
                <w:b/>
                <w:bCs/>
                <w:color w:val="EE0000"/>
                <w:szCs w:val="21"/>
              </w:rPr>
              <w:t>对应测试大纲</w:t>
            </w:r>
          </w:p>
        </w:tc>
        <w:tc>
          <w:tcPr>
            <w:tcW w:w="3327" w:type="dxa"/>
            <w:tcBorders>
              <w:top w:val="single" w:color="auto" w:sz="4" w:space="0"/>
              <w:left w:val="single" w:color="auto" w:sz="4" w:space="0"/>
              <w:bottom w:val="single" w:color="auto" w:sz="4" w:space="0"/>
              <w:right w:val="single" w:color="auto" w:sz="4" w:space="0"/>
            </w:tcBorders>
            <w:vAlign w:val="center"/>
          </w:tcPr>
          <w:p w14:paraId="33923AE1">
            <w:pPr>
              <w:tabs>
                <w:tab w:val="left" w:pos="7350"/>
              </w:tabs>
              <w:spacing w:line="360" w:lineRule="auto"/>
              <w:jc w:val="center"/>
              <w:rPr>
                <w:b/>
                <w:bCs/>
                <w:color w:val="EE0000"/>
                <w:szCs w:val="21"/>
              </w:rPr>
            </w:pPr>
            <w:r>
              <w:rPr>
                <w:rFonts w:hint="eastAsia"/>
                <w:b/>
                <w:bCs/>
                <w:color w:val="EE0000"/>
                <w:szCs w:val="21"/>
              </w:rPr>
              <w:t>测试对象</w:t>
            </w:r>
          </w:p>
        </w:tc>
      </w:tr>
      <w:tr w14:paraId="476E90CC">
        <w:trPr>
          <w:trHeight w:val="300" w:hRule="atLeast"/>
          <w:jc w:val="center"/>
        </w:trPr>
        <w:tc>
          <w:tcPr>
            <w:tcW w:w="882" w:type="dxa"/>
            <w:tcBorders>
              <w:top w:val="single" w:color="auto" w:sz="4" w:space="0"/>
              <w:left w:val="single" w:color="auto" w:sz="4" w:space="0"/>
              <w:bottom w:val="single" w:color="auto" w:sz="4" w:space="0"/>
              <w:right w:val="single" w:color="auto" w:sz="4" w:space="0"/>
            </w:tcBorders>
            <w:vAlign w:val="center"/>
          </w:tcPr>
          <w:p w14:paraId="12446C3B">
            <w:pPr>
              <w:jc w:val="center"/>
              <w:rPr>
                <w:bCs/>
                <w:szCs w:val="28"/>
                <w:highlight w:val="none"/>
                <w:lang w:eastAsia="zh-CN"/>
              </w:rPr>
            </w:pPr>
            <w:r>
              <w:rPr>
                <w:rFonts w:hint="eastAsia"/>
                <w:bCs/>
                <w:szCs w:val="28"/>
                <w:highlight w:val="none"/>
              </w:rPr>
              <w:t>1</w:t>
            </w:r>
          </w:p>
        </w:tc>
        <w:tc>
          <w:tcPr>
            <w:tcW w:w="2409" w:type="dxa"/>
            <w:tcBorders>
              <w:top w:val="single" w:color="auto" w:sz="4" w:space="0"/>
              <w:left w:val="single" w:color="auto" w:sz="4" w:space="0"/>
              <w:bottom w:val="single" w:color="auto" w:sz="4" w:space="0"/>
              <w:right w:val="single" w:color="auto" w:sz="4" w:space="0"/>
            </w:tcBorders>
            <w:vAlign w:val="center"/>
          </w:tcPr>
          <w:p w14:paraId="1FE7038E">
            <w:pPr>
              <w:jc w:val="center"/>
              <w:rPr>
                <w:bCs/>
                <w:szCs w:val="28"/>
                <w:highlight w:val="none"/>
                <w:lang w:eastAsia="zh-CN"/>
              </w:rPr>
            </w:pPr>
            <w:r>
              <w:rPr>
                <w:rFonts w:hint="eastAsia"/>
                <w:bCs/>
                <w:szCs w:val="28"/>
                <w:lang w:eastAsia="zh-CN"/>
              </w:rPr>
              <w:t>基于 TEE 和异构计算的同态加密加速技术</w:t>
            </w:r>
          </w:p>
        </w:tc>
        <w:tc>
          <w:tcPr>
            <w:tcW w:w="2127" w:type="dxa"/>
            <w:tcBorders>
              <w:top w:val="single" w:color="auto" w:sz="4" w:space="0"/>
              <w:left w:val="single" w:color="auto" w:sz="4" w:space="0"/>
              <w:bottom w:val="single" w:color="auto" w:sz="4" w:space="0"/>
              <w:right w:val="single" w:color="auto" w:sz="4" w:space="0"/>
            </w:tcBorders>
            <w:vAlign w:val="center"/>
          </w:tcPr>
          <w:p w14:paraId="1F170F64">
            <w:pPr>
              <w:jc w:val="center"/>
              <w:rPr>
                <w:bCs/>
                <w:szCs w:val="28"/>
                <w:highlight w:val="none"/>
                <w:lang w:eastAsia="zh-CN"/>
              </w:rPr>
            </w:pPr>
            <w:r>
              <w:rPr>
                <w:rFonts w:hint="eastAsia"/>
                <w:bCs/>
                <w:szCs w:val="28"/>
                <w:highlight w:val="none"/>
                <w:lang w:eastAsia="zh-CN"/>
              </w:rPr>
              <w:t>1.4.</w:t>
            </w:r>
            <w:r>
              <w:rPr>
                <w:rFonts w:hint="eastAsia"/>
                <w:bCs/>
                <w:szCs w:val="28"/>
                <w:highlight w:val="none"/>
                <w:lang w:val="en-US" w:eastAsia="zh-CN"/>
              </w:rPr>
              <w:t>3</w:t>
            </w:r>
            <w:r>
              <w:rPr>
                <w:rFonts w:hint="eastAsia"/>
                <w:bCs/>
                <w:szCs w:val="28"/>
                <w:highlight w:val="none"/>
                <w:lang w:eastAsia="zh-CN"/>
              </w:rPr>
              <w:t>.</w:t>
            </w:r>
            <w:r>
              <w:rPr>
                <w:rFonts w:hint="eastAsia"/>
                <w:bCs/>
                <w:szCs w:val="28"/>
                <w:highlight w:val="none"/>
                <w:lang w:val="en-US" w:eastAsia="zh-CN"/>
              </w:rPr>
              <w:t>2</w:t>
            </w:r>
            <w:r>
              <w:rPr>
                <w:rFonts w:hint="eastAsia"/>
                <w:bCs/>
                <w:szCs w:val="28"/>
                <w:highlight w:val="none"/>
                <w:lang w:eastAsia="zh-CN"/>
              </w:rPr>
              <w:t>. 基于可信执行环境的同态加密计算加速系统（指标</w:t>
            </w:r>
            <w:r>
              <w:rPr>
                <w:rFonts w:hint="eastAsia"/>
                <w:bCs/>
                <w:szCs w:val="28"/>
                <w:highlight w:val="none"/>
                <w:lang w:val="en-US" w:eastAsia="zh-CN"/>
              </w:rPr>
              <w:t>2</w:t>
            </w:r>
            <w:r>
              <w:rPr>
                <w:rFonts w:hint="eastAsia"/>
                <w:bCs/>
                <w:szCs w:val="28"/>
                <w:highlight w:val="none"/>
                <w:lang w:eastAsia="zh-CN"/>
              </w:rPr>
              <w:t>.</w:t>
            </w:r>
            <w:r>
              <w:rPr>
                <w:rFonts w:hint="eastAsia"/>
                <w:bCs/>
                <w:szCs w:val="28"/>
                <w:highlight w:val="none"/>
                <w:lang w:val="en-US" w:eastAsia="zh-CN"/>
              </w:rPr>
              <w:t>6</w:t>
            </w:r>
            <w:r>
              <w:rPr>
                <w:rFonts w:hint="eastAsia"/>
                <w:bCs/>
                <w:szCs w:val="28"/>
                <w:highlight w:val="none"/>
                <w:lang w:eastAsia="zh-CN"/>
              </w:rPr>
              <w:t>）</w:t>
            </w:r>
          </w:p>
        </w:tc>
        <w:tc>
          <w:tcPr>
            <w:tcW w:w="3327" w:type="dxa"/>
            <w:tcBorders>
              <w:top w:val="single" w:color="auto" w:sz="4" w:space="0"/>
              <w:left w:val="single" w:color="auto" w:sz="4" w:space="0"/>
              <w:bottom w:val="single" w:color="auto" w:sz="4" w:space="0"/>
              <w:right w:val="single" w:color="auto" w:sz="4" w:space="0"/>
            </w:tcBorders>
            <w:vAlign w:val="center"/>
          </w:tcPr>
          <w:p w14:paraId="6BC70B6E">
            <w:pPr>
              <w:rPr>
                <w:rFonts w:hint="eastAsia" w:eastAsiaTheme="minorEastAsia"/>
                <w:bCs/>
                <w:szCs w:val="28"/>
                <w:highlight w:val="none"/>
                <w:lang w:eastAsia="zh-CN"/>
              </w:rPr>
            </w:pPr>
            <w:r>
              <w:rPr>
                <w:rFonts w:hint="eastAsia" w:eastAsiaTheme="minorEastAsia"/>
                <w:bCs/>
                <w:szCs w:val="28"/>
                <w:highlight w:val="none"/>
                <w:lang w:val="en-US" w:eastAsia="zh-CN"/>
              </w:rPr>
              <w:t>基于可信执行环境的同态加密计算加速系统</w:t>
            </w:r>
          </w:p>
        </w:tc>
      </w:tr>
    </w:tbl>
    <w:p w14:paraId="117A5570">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rPr>
      </w:pPr>
    </w:p>
    <w:p w14:paraId="3851E847">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第三条 检测经费及付款方式</w:t>
      </w:r>
    </w:p>
    <w:p w14:paraId="4037425D">
      <w:pPr>
        <w:adjustRightInd w:val="0"/>
        <w:snapToGrid w:val="0"/>
        <w:spacing w:line="300" w:lineRule="auto"/>
        <w:ind w:firstLine="480" w:firstLineChars="200"/>
        <w:jc w:val="left"/>
        <w:rPr>
          <w:rFonts w:cs="Times New Roman" w:asciiTheme="minorEastAsia" w:hAnsiTheme="minorEastAsia"/>
          <w:snapToGrid w:val="0"/>
          <w:color w:val="auto"/>
          <w:kern w:val="0"/>
          <w:sz w:val="24"/>
          <w:szCs w:val="24"/>
          <w:highlight w:val="none"/>
        </w:rPr>
      </w:pPr>
      <w:r>
        <w:rPr>
          <w:rFonts w:hint="eastAsia" w:cs="Times New Roman" w:asciiTheme="minorEastAsia" w:hAnsiTheme="minorEastAsia"/>
          <w:snapToGrid w:val="0"/>
          <w:color w:val="auto"/>
          <w:kern w:val="0"/>
          <w:sz w:val="24"/>
          <w:szCs w:val="24"/>
          <w:highlight w:val="none"/>
        </w:rPr>
        <w:t>甲方向乙方支付检测费用总计人民币（大写）：</w:t>
      </w:r>
      <w:bookmarkStart w:id="4" w:name="_Hlk2694892"/>
      <w:r>
        <w:rPr>
          <w:rFonts w:hint="eastAsia" w:cs="Times New Roman" w:asciiTheme="minorEastAsia" w:hAnsiTheme="minorEastAsia"/>
          <w:snapToGrid w:val="0"/>
          <w:color w:val="auto"/>
          <w:kern w:val="0"/>
          <w:sz w:val="24"/>
          <w:szCs w:val="24"/>
          <w:highlight w:val="none"/>
          <w:u w:val="single"/>
        </w:rPr>
        <w:t>人</w:t>
      </w:r>
      <w:bookmarkStart w:id="5" w:name="_Hlk1553555"/>
      <w:r>
        <w:rPr>
          <w:rFonts w:hint="eastAsia" w:cs="Times New Roman" w:asciiTheme="minorEastAsia" w:hAnsiTheme="minorEastAsia"/>
          <w:snapToGrid w:val="0"/>
          <w:color w:val="auto"/>
          <w:kern w:val="0"/>
          <w:sz w:val="24"/>
          <w:szCs w:val="24"/>
          <w:highlight w:val="none"/>
          <w:u w:val="single"/>
        </w:rPr>
        <w:t>民币贰万伍仟</w:t>
      </w:r>
      <w:r>
        <w:rPr>
          <w:rFonts w:hint="eastAsia" w:cs="Times New Roman" w:asciiTheme="minorEastAsia" w:hAnsiTheme="minorEastAsia"/>
          <w:snapToGrid w:val="0"/>
          <w:color w:val="auto"/>
          <w:kern w:val="0"/>
          <w:sz w:val="24"/>
          <w:szCs w:val="24"/>
          <w:highlight w:val="none"/>
          <w:u w:val="single"/>
          <w:lang w:val="en-US" w:eastAsia="zh-CN"/>
        </w:rPr>
        <w:t>元整</w:t>
      </w:r>
      <w:r>
        <w:rPr>
          <w:rFonts w:hint="eastAsia" w:cs="Times New Roman" w:asciiTheme="minorEastAsia" w:hAnsiTheme="minorEastAsia"/>
          <w:snapToGrid w:val="0"/>
          <w:color w:val="auto"/>
          <w:kern w:val="0"/>
          <w:sz w:val="24"/>
          <w:szCs w:val="24"/>
          <w:highlight w:val="none"/>
          <w:u w:val="single"/>
        </w:rPr>
        <w:t>（￥</w:t>
      </w:r>
      <w:r>
        <w:rPr>
          <w:rFonts w:hint="eastAsia" w:cs="Times New Roman" w:asciiTheme="minorEastAsia" w:hAnsiTheme="minorEastAsia"/>
          <w:snapToGrid w:val="0"/>
          <w:color w:val="auto"/>
          <w:kern w:val="0"/>
          <w:sz w:val="24"/>
          <w:szCs w:val="24"/>
          <w:highlight w:val="none"/>
          <w:u w:val="single"/>
          <w:lang w:val="en-US" w:eastAsia="zh-CN"/>
        </w:rPr>
        <w:t>25</w:t>
      </w:r>
      <w:r>
        <w:rPr>
          <w:rFonts w:hint="eastAsia" w:cs="Times New Roman" w:asciiTheme="minorEastAsia" w:hAnsiTheme="minorEastAsia"/>
          <w:snapToGrid w:val="0"/>
          <w:color w:val="auto"/>
          <w:kern w:val="0"/>
          <w:sz w:val="24"/>
          <w:szCs w:val="24"/>
          <w:highlight w:val="none"/>
          <w:u w:val="single"/>
        </w:rPr>
        <w:t>,000.00）</w:t>
      </w:r>
      <w:bookmarkEnd w:id="4"/>
      <w:bookmarkEnd w:id="5"/>
      <w:r>
        <w:rPr>
          <w:rFonts w:hint="eastAsia" w:cs="Times New Roman" w:asciiTheme="minorEastAsia" w:hAnsiTheme="minorEastAsia"/>
          <w:snapToGrid w:val="0"/>
          <w:color w:val="auto"/>
          <w:kern w:val="0"/>
          <w:sz w:val="24"/>
          <w:szCs w:val="24"/>
          <w:highlight w:val="none"/>
        </w:rPr>
        <w:t>。</w:t>
      </w:r>
    </w:p>
    <w:p w14:paraId="34176056">
      <w:commentRangeStart w:id="2"/>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rPr>
      </w:pPr>
      <w:bookmarkStart w:id="6" w:name="tip_risk_bookmark_5"/>
      <w:r>
        <w:rPr>
          <w:rFonts w:hint="eastAsia" w:cs="Times New Roman" w:asciiTheme="minorEastAsia" w:hAnsiTheme="minorEastAsia"/>
          <w:snapToGrid w:val="0"/>
          <w:color w:val="auto"/>
          <w:kern w:val="0"/>
          <w:sz w:val="24"/>
          <w:szCs w:val="24"/>
          <w:highlight w:val="none"/>
        </w:rPr>
        <w:t>合同签订后</w:t>
      </w:r>
      <w:r>
        <w:rPr>
          <w:rFonts w:hint="eastAsia" w:cs="Times New Roman" w:asciiTheme="minorEastAsia" w:hAnsiTheme="minorEastAsia"/>
          <w:snapToGrid w:val="0"/>
          <w:color w:val="auto"/>
          <w:kern w:val="0"/>
          <w:sz w:val="24"/>
          <w:szCs w:val="24"/>
          <w:highlight w:val="none"/>
          <w:lang w:val="en-US" w:eastAsia="zh-CN"/>
        </w:rPr>
        <w:t>30</w:t>
      </w:r>
      <w:r>
        <w:rPr>
          <w:rFonts w:hint="eastAsia" w:cs="Times New Roman" w:asciiTheme="minorEastAsia" w:hAnsiTheme="minorEastAsia"/>
          <w:snapToGrid w:val="0"/>
          <w:color w:val="auto"/>
          <w:kern w:val="0"/>
          <w:sz w:val="24"/>
          <w:szCs w:val="24"/>
          <w:highlight w:val="none"/>
        </w:rPr>
        <w:t>日内，甲方一次性向乙方支付检测费</w:t>
      </w:r>
      <w:r>
        <w:rPr>
          <w:rFonts w:hint="eastAsia" w:cs="Times New Roman" w:asciiTheme="minorEastAsia" w:hAnsiTheme="minorEastAsia"/>
          <w:snapToGrid w:val="0"/>
          <w:color w:val="auto"/>
          <w:kern w:val="0"/>
          <w:sz w:val="24"/>
          <w:szCs w:val="24"/>
          <w:highlight w:val="none"/>
          <w:lang w:val="en-US" w:eastAsia="zh-CN"/>
        </w:rPr>
        <w:t>用</w:t>
      </w:r>
      <w:r>
        <w:rPr>
          <w:rFonts w:hint="eastAsia" w:cs="Times New Roman" w:asciiTheme="minorEastAsia" w:hAnsiTheme="minorEastAsia"/>
          <w:snapToGrid w:val="0"/>
          <w:color w:val="auto"/>
          <w:kern w:val="0"/>
          <w:sz w:val="24"/>
          <w:szCs w:val="24"/>
          <w:highlight w:val="none"/>
        </w:rPr>
        <w:t>人民币：</w:t>
      </w:r>
      <w:r>
        <w:rPr>
          <w:rFonts w:hint="eastAsia" w:cs="Times New Roman" w:asciiTheme="minorEastAsia" w:hAnsiTheme="minorEastAsia"/>
          <w:snapToGrid w:val="0"/>
          <w:color w:val="auto"/>
          <w:kern w:val="0"/>
          <w:sz w:val="24"/>
          <w:szCs w:val="24"/>
          <w:highlight w:val="none"/>
          <w:u w:val="single"/>
        </w:rPr>
        <w:t>人民币贰万伍仟</w:t>
      </w:r>
      <w:r>
        <w:rPr>
          <w:rFonts w:hint="eastAsia" w:cs="Times New Roman" w:asciiTheme="minorEastAsia" w:hAnsiTheme="minorEastAsia"/>
          <w:snapToGrid w:val="0"/>
          <w:color w:val="auto"/>
          <w:kern w:val="0"/>
          <w:sz w:val="24"/>
          <w:szCs w:val="24"/>
          <w:highlight w:val="none"/>
          <w:u w:val="single"/>
          <w:lang w:val="en-US" w:eastAsia="zh-CN"/>
        </w:rPr>
        <w:t>元</w:t>
      </w:r>
      <w:r>
        <w:rPr>
          <w:rFonts w:hint="eastAsia" w:cs="Times New Roman" w:asciiTheme="minorEastAsia" w:hAnsiTheme="minorEastAsia"/>
          <w:snapToGrid w:val="0"/>
          <w:color w:val="auto"/>
          <w:kern w:val="0"/>
          <w:sz w:val="24"/>
          <w:szCs w:val="24"/>
          <w:highlight w:val="none"/>
          <w:u w:val="single"/>
        </w:rPr>
        <w:t>整（￥</w:t>
      </w:r>
      <w:r>
        <w:rPr>
          <w:rFonts w:hint="eastAsia" w:cs="Times New Roman" w:asciiTheme="minorEastAsia" w:hAnsiTheme="minorEastAsia"/>
          <w:snapToGrid w:val="0"/>
          <w:color w:val="auto"/>
          <w:kern w:val="0"/>
          <w:sz w:val="24"/>
          <w:szCs w:val="24"/>
          <w:highlight w:val="none"/>
          <w:u w:val="single"/>
          <w:lang w:val="en-US" w:eastAsia="zh-CN"/>
        </w:rPr>
        <w:t>25</w:t>
      </w:r>
      <w:r>
        <w:rPr>
          <w:rFonts w:hint="eastAsia" w:cs="Times New Roman" w:asciiTheme="minorEastAsia" w:hAnsiTheme="minorEastAsia"/>
          <w:snapToGrid w:val="0"/>
          <w:color w:val="auto"/>
          <w:kern w:val="0"/>
          <w:sz w:val="24"/>
          <w:szCs w:val="24"/>
          <w:highlight w:val="none"/>
          <w:u w:val="single"/>
        </w:rPr>
        <w:t>,000.00）</w:t>
      </w:r>
      <w:r>
        <w:rPr>
          <w:rFonts w:hint="eastAsia" w:cs="Times New Roman" w:asciiTheme="minorEastAsia" w:hAnsiTheme="minorEastAsia"/>
          <w:snapToGrid w:val="0"/>
          <w:color w:val="auto"/>
          <w:kern w:val="0"/>
          <w:sz w:val="24"/>
          <w:szCs w:val="24"/>
          <w:highlight w:val="none"/>
        </w:rPr>
        <w:t>，项目款到账后，开具同等金额</w:t>
      </w:r>
      <w:r>
        <w:rPr>
          <w:rFonts w:hint="eastAsia" w:cs="Times New Roman" w:asciiTheme="minorEastAsia" w:hAnsiTheme="minorEastAsia"/>
          <w:snapToGrid w:val="0"/>
          <w:color w:val="auto"/>
          <w:kern w:val="0"/>
          <w:sz w:val="24"/>
          <w:szCs w:val="24"/>
          <w:highlight w:val="none"/>
          <w:u w:val="none"/>
        </w:rPr>
        <w:t>的</w:t>
      </w:r>
      <w:r>
        <w:rPr>
          <w:rFonts w:hint="eastAsia" w:ascii="宋体" w:hAnsi="宋体" w:eastAsia="宋体" w:cs="宋体"/>
          <w:b w:val="0"/>
          <w:bCs/>
          <w:color w:val="auto"/>
          <w:sz w:val="24"/>
          <w:szCs w:val="24"/>
          <w:highlight w:val="none"/>
          <w:u w:val="single"/>
          <w:lang w:val="en-US" w:eastAsia="zh-CN"/>
        </w:rPr>
        <w:t>☑</w:t>
      </w:r>
      <w:r>
        <w:rPr>
          <w:rFonts w:hint="eastAsia" w:cs="Times New Roman" w:asciiTheme="minorEastAsia" w:hAnsiTheme="minorEastAsia"/>
          <w:snapToGrid w:val="0"/>
          <w:color w:val="auto"/>
          <w:kern w:val="0"/>
          <w:sz w:val="24"/>
          <w:szCs w:val="24"/>
          <w:highlight w:val="none"/>
          <w:u w:val="single"/>
        </w:rPr>
        <w:t>增值税</w:t>
      </w:r>
      <w:r>
        <w:rPr>
          <w:rFonts w:hint="eastAsia" w:cs="Times New Roman" w:asciiTheme="minorEastAsia" w:hAnsiTheme="minorEastAsia"/>
          <w:snapToGrid w:val="0"/>
          <w:color w:val="auto"/>
          <w:kern w:val="0"/>
          <w:sz w:val="24"/>
          <w:szCs w:val="24"/>
          <w:highlight w:val="none"/>
          <w:u w:val="single"/>
          <w:lang w:val="en-US" w:eastAsia="zh-CN"/>
        </w:rPr>
        <w:t>电子</w:t>
      </w:r>
      <w:r>
        <w:rPr>
          <w:rFonts w:hint="eastAsia" w:cs="Times New Roman" w:asciiTheme="minorEastAsia" w:hAnsiTheme="minorEastAsia"/>
          <w:snapToGrid w:val="0"/>
          <w:color w:val="auto"/>
          <w:kern w:val="0"/>
          <w:sz w:val="24"/>
          <w:szCs w:val="24"/>
          <w:highlight w:val="none"/>
          <w:u w:val="single"/>
        </w:rPr>
        <w:t>专用发票</w:t>
      </w:r>
      <w:r>
        <w:rPr>
          <w:rFonts w:hint="eastAsia" w:ascii="宋体" w:hAnsi="宋体" w:eastAsia="宋体" w:cs="宋体"/>
          <w:b w:val="0"/>
          <w:bCs/>
          <w:color w:val="auto"/>
          <w:sz w:val="24"/>
          <w:szCs w:val="24"/>
          <w:highlight w:val="none"/>
          <w:u w:val="single"/>
          <w:lang w:val="en-US" w:eastAsia="zh-CN"/>
        </w:rPr>
        <w:t>□增值税电子普通发票</w:t>
      </w:r>
      <w:r>
        <w:rPr>
          <w:rFonts w:hint="eastAsia" w:cs="Times New Roman" w:asciiTheme="minorEastAsia" w:hAnsiTheme="minorEastAsia"/>
          <w:snapToGrid w:val="0"/>
          <w:color w:val="auto"/>
          <w:kern w:val="0"/>
          <w:sz w:val="24"/>
          <w:szCs w:val="24"/>
          <w:highlight w:val="none"/>
        </w:rPr>
        <w:t>。</w:t>
      </w:r>
      <w:bookmarkEnd w:id="6"/>
      <w:commentRangeEnd w:id="2"/>
      <w:r>
        <w:commentReference w:id="2"/>
      </w:r>
    </w:p>
    <w:p w14:paraId="685CB151">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rPr>
      </w:pPr>
    </w:p>
    <w:p w14:paraId="6ADDAD0A">
      <w:pPr>
        <w:adjustRightInd w:val="0"/>
        <w:snapToGrid w:val="0"/>
        <w:spacing w:line="360" w:lineRule="auto"/>
        <w:ind w:firstLine="480" w:firstLineChars="200"/>
        <w:jc w:val="left"/>
        <w:rPr>
          <w:rFonts w:ascii="宋体" w:hAnsi="宋体" w:cs="Times New Roman"/>
          <w:b/>
          <w:snapToGrid w:val="0"/>
          <w:color w:val="auto"/>
          <w:kern w:val="0"/>
          <w:sz w:val="24"/>
          <w:szCs w:val="28"/>
          <w:highlight w:val="none"/>
        </w:rPr>
      </w:pPr>
      <w:r>
        <w:rPr>
          <w:rFonts w:hint="eastAsia" w:ascii="宋体" w:hAnsi="宋体" w:cs="Times New Roman"/>
          <w:b/>
          <w:snapToGrid w:val="0"/>
          <w:color w:val="auto"/>
          <w:kern w:val="0"/>
          <w:sz w:val="24"/>
          <w:szCs w:val="28"/>
          <w:highlight w:val="none"/>
        </w:rPr>
        <w:t>甲方发票信息：</w:t>
      </w:r>
    </w:p>
    <w:p w14:paraId="0D047D8F">
      <w:pPr>
        <w:adjustRightInd w:val="0"/>
        <w:snapToGrid w:val="0"/>
        <w:spacing w:line="300" w:lineRule="auto"/>
        <w:ind w:firstLine="480" w:firstLineChars="200"/>
        <w:rPr>
          <w:rFonts w:hint="eastAsia" w:asciiTheme="minorEastAsia" w:hAnsiTheme="minorEastAsia" w:eastAsiaTheme="minorEastAsia"/>
          <w:b w:val="0"/>
          <w:bCs/>
          <w:color w:val="auto"/>
          <w:sz w:val="24"/>
          <w:szCs w:val="24"/>
          <w:highlight w:val="none"/>
          <w:lang w:val="en-US" w:eastAsia="zh-CN"/>
        </w:rPr>
      </w:pPr>
      <w:r>
        <w:rPr>
          <w:rFonts w:hint="eastAsia" w:asciiTheme="minorEastAsia" w:hAnsiTheme="minorEastAsia"/>
          <w:b/>
          <w:color w:val="auto"/>
          <w:sz w:val="24"/>
          <w:szCs w:val="24"/>
          <w:highlight w:val="none"/>
        </w:rPr>
        <w:t>单位名称：</w:t>
      </w:r>
      <w:r>
        <w:rPr>
          <w:rFonts w:hint="eastAsia" w:asciiTheme="minorEastAsia" w:hAnsiTheme="minorEastAsia"/>
          <w:b w:val="0"/>
          <w:bCs/>
          <w:color w:val="auto"/>
          <w:sz w:val="24"/>
          <w:szCs w:val="24"/>
          <w:highlight w:val="none"/>
          <w:lang w:val="en-US" w:eastAsia="zh-CN"/>
        </w:rPr>
        <w:t>南湖实验室</w:t>
      </w:r>
    </w:p>
    <w:p w14:paraId="54B3D360">
      <w:pPr>
        <w:adjustRightInd w:val="0"/>
        <w:snapToGrid w:val="0"/>
        <w:spacing w:line="300" w:lineRule="auto"/>
        <w:ind w:firstLine="480" w:firstLineChars="200"/>
        <w:rPr>
          <w:rFonts w:hint="eastAsia" w:asciiTheme="minorEastAsia" w:hAnsiTheme="minorEastAsia" w:eastAsiaTheme="minorEastAsia"/>
          <w:b w:val="0"/>
          <w:bCs/>
          <w:color w:val="auto"/>
          <w:sz w:val="24"/>
          <w:szCs w:val="24"/>
          <w:highlight w:val="none"/>
          <w:lang w:val="en-US" w:eastAsia="zh-CN"/>
        </w:rPr>
      </w:pPr>
      <w:r>
        <w:rPr>
          <w:rFonts w:hint="eastAsia" w:asciiTheme="minorEastAsia" w:hAnsiTheme="minorEastAsia"/>
          <w:b/>
          <w:color w:val="auto"/>
          <w:sz w:val="24"/>
          <w:szCs w:val="24"/>
          <w:highlight w:val="none"/>
        </w:rPr>
        <w:t>统一社会信用代码：</w:t>
      </w:r>
      <w:r>
        <w:rPr>
          <w:rFonts w:hint="eastAsia" w:asciiTheme="minorEastAsia" w:hAnsiTheme="minorEastAsia"/>
          <w:b w:val="0"/>
          <w:bCs/>
          <w:color w:val="auto"/>
          <w:sz w:val="24"/>
          <w:szCs w:val="24"/>
          <w:highlight w:val="none"/>
        </w:rPr>
        <w:t>12330400MB1D62272G</w:t>
      </w:r>
    </w:p>
    <w:p w14:paraId="75B4308F">
      <w:pPr>
        <w:adjustRightInd w:val="0"/>
        <w:snapToGrid w:val="0"/>
        <w:spacing w:line="300" w:lineRule="auto"/>
        <w:ind w:firstLine="480" w:firstLineChars="200"/>
        <w:rPr>
          <w:rFonts w:hint="eastAsia" w:asciiTheme="minorEastAsia" w:hAnsiTheme="minorEastAsia" w:eastAsiaTheme="minorEastAsia"/>
          <w:b/>
          <w:color w:val="auto"/>
          <w:sz w:val="24"/>
          <w:szCs w:val="24"/>
          <w:highlight w:val="none"/>
          <w:lang w:val="en-US" w:eastAsia="zh-CN"/>
        </w:rPr>
      </w:pPr>
      <w:r>
        <w:rPr>
          <w:rFonts w:hint="eastAsia" w:asciiTheme="minorEastAsia" w:hAnsiTheme="minorEastAsia"/>
          <w:b/>
          <w:color w:val="auto"/>
          <w:sz w:val="24"/>
          <w:szCs w:val="24"/>
          <w:highlight w:val="none"/>
        </w:rPr>
        <w:t>开户银行：</w:t>
      </w:r>
      <w:r>
        <w:rPr>
          <w:rFonts w:hint="eastAsia" w:asciiTheme="minorEastAsia" w:hAnsiTheme="minorEastAsia"/>
          <w:b w:val="0"/>
          <w:bCs/>
          <w:color w:val="auto"/>
          <w:sz w:val="24"/>
          <w:szCs w:val="24"/>
          <w:highlight w:val="none"/>
        </w:rPr>
        <w:t>嘉兴银行股份有限公司科技支行</w:t>
      </w:r>
    </w:p>
    <w:p w14:paraId="431100D7">
      <w:pPr>
        <w:adjustRightInd w:val="0"/>
        <w:snapToGrid w:val="0"/>
        <w:spacing w:line="300" w:lineRule="auto"/>
        <w:ind w:firstLine="480" w:firstLineChars="200"/>
        <w:rPr>
          <w:rFonts w:hint="eastAsia" w:asciiTheme="minorEastAsia" w:hAnsiTheme="minorEastAsia" w:eastAsiaTheme="minorEastAsia"/>
          <w:b w:val="0"/>
          <w:bCs/>
          <w:color w:val="auto"/>
          <w:sz w:val="24"/>
          <w:szCs w:val="24"/>
          <w:highlight w:val="none"/>
          <w:lang w:val="en-US" w:eastAsia="zh-CN"/>
        </w:rPr>
      </w:pPr>
      <w:r>
        <w:rPr>
          <w:rFonts w:hint="eastAsia" w:asciiTheme="minorEastAsia" w:hAnsiTheme="minorEastAsia"/>
          <w:b/>
          <w:color w:val="auto"/>
          <w:sz w:val="24"/>
          <w:szCs w:val="24"/>
          <w:highlight w:val="none"/>
        </w:rPr>
        <w:t>银行账号：</w:t>
      </w:r>
      <w:r>
        <w:rPr>
          <w:rFonts w:hint="eastAsia" w:asciiTheme="minorEastAsia" w:hAnsiTheme="minorEastAsia"/>
          <w:b w:val="0"/>
          <w:bCs/>
          <w:color w:val="auto"/>
          <w:sz w:val="24"/>
          <w:szCs w:val="24"/>
          <w:highlight w:val="none"/>
        </w:rPr>
        <w:t>109101201900080105</w:t>
      </w:r>
    </w:p>
    <w:p w14:paraId="262E62CA">
      <w:pPr>
        <w:adjustRightInd w:val="0"/>
        <w:snapToGrid w:val="0"/>
        <w:spacing w:line="300" w:lineRule="auto"/>
        <w:ind w:firstLine="480" w:firstLineChars="200"/>
        <w:rPr>
          <w:rFonts w:hint="eastAsia" w:asciiTheme="minorEastAsia" w:hAnsiTheme="minorEastAsia" w:eastAsiaTheme="minorEastAsia"/>
          <w:b/>
          <w:color w:val="auto"/>
          <w:sz w:val="24"/>
          <w:szCs w:val="24"/>
          <w:highlight w:val="none"/>
          <w:lang w:val="en-US" w:eastAsia="zh-CN"/>
        </w:rPr>
      </w:pPr>
      <w:r>
        <w:rPr>
          <w:rFonts w:hint="eastAsia" w:asciiTheme="minorEastAsia" w:hAnsiTheme="minorEastAsia"/>
          <w:b/>
          <w:color w:val="auto"/>
          <w:sz w:val="24"/>
          <w:szCs w:val="24"/>
          <w:highlight w:val="none"/>
        </w:rPr>
        <w:t>开票地址：</w:t>
      </w:r>
      <w:r>
        <w:rPr>
          <w:rFonts w:hint="eastAsia" w:asciiTheme="minorEastAsia" w:hAnsiTheme="minorEastAsia"/>
          <w:b w:val="0"/>
          <w:bCs/>
          <w:color w:val="auto"/>
          <w:sz w:val="24"/>
          <w:szCs w:val="24"/>
          <w:highlight w:val="none"/>
        </w:rPr>
        <w:t>嘉兴市南湖区七星街道香湖别墅29幢</w:t>
      </w:r>
    </w:p>
    <w:p w14:paraId="309C27C9">
      <w:pPr>
        <w:adjustRightInd w:val="0"/>
        <w:snapToGrid w:val="0"/>
        <w:spacing w:line="300" w:lineRule="auto"/>
        <w:ind w:firstLine="480" w:firstLineChars="200"/>
        <w:rPr>
          <w:rFonts w:hint="eastAsia" w:asciiTheme="minorEastAsia" w:hAnsiTheme="minorEastAsia" w:eastAsiaTheme="minorEastAsia"/>
          <w:b w:val="0"/>
          <w:bCs/>
          <w:color w:val="auto"/>
          <w:sz w:val="24"/>
          <w:szCs w:val="24"/>
          <w:highlight w:val="none"/>
          <w:lang w:val="en-US" w:eastAsia="zh-CN"/>
        </w:rPr>
      </w:pPr>
      <w:r>
        <w:rPr>
          <w:rFonts w:hint="eastAsia" w:asciiTheme="minorEastAsia" w:hAnsiTheme="minorEastAsia"/>
          <w:b/>
          <w:color w:val="auto"/>
          <w:sz w:val="24"/>
          <w:szCs w:val="24"/>
          <w:highlight w:val="none"/>
        </w:rPr>
        <w:t>电    话：</w:t>
      </w:r>
      <w:r>
        <w:rPr>
          <w:rFonts w:hint="eastAsia" w:asciiTheme="minorEastAsia" w:hAnsiTheme="minorEastAsia"/>
          <w:b w:val="0"/>
          <w:bCs/>
          <w:color w:val="auto"/>
          <w:sz w:val="24"/>
          <w:szCs w:val="24"/>
          <w:highlight w:val="none"/>
        </w:rPr>
        <w:t>0573-82866610</w:t>
      </w:r>
    </w:p>
    <w:p w14:paraId="72D42F1E">
      <w:pPr>
        <w:adjustRightInd w:val="0"/>
        <w:snapToGrid w:val="0"/>
        <w:spacing w:line="300" w:lineRule="auto"/>
        <w:ind w:firstLine="480" w:firstLineChars="200"/>
        <w:rPr>
          <w:rFonts w:hint="default" w:asciiTheme="minorEastAsia" w:hAnsiTheme="minorEastAsia" w:eastAsiaTheme="minorEastAsia"/>
          <w:b w:val="0"/>
          <w:bCs/>
          <w:color w:val="auto"/>
          <w:sz w:val="24"/>
          <w:szCs w:val="24"/>
          <w:highlight w:val="yellow"/>
          <w:lang w:val="en-US" w:eastAsia="zh-CN"/>
        </w:rPr>
      </w:pPr>
      <w:r>
        <w:rPr>
          <w:rFonts w:hint="eastAsia" w:asciiTheme="minorEastAsia" w:hAnsiTheme="minorEastAsia"/>
          <w:b/>
          <w:color w:val="auto"/>
          <w:sz w:val="24"/>
          <w:szCs w:val="24"/>
          <w:highlight w:val="none"/>
          <w:lang w:val="en-US" w:eastAsia="zh-CN"/>
        </w:rPr>
        <w:t>纳税人身份</w:t>
      </w:r>
      <w:r>
        <w:rPr>
          <w:rFonts w:hint="eastAsia" w:asciiTheme="minorEastAsia" w:hAnsiTheme="minorEastAsia"/>
          <w:b w:val="0"/>
          <w:bCs/>
          <w:color w:val="auto"/>
          <w:sz w:val="24"/>
          <w:szCs w:val="24"/>
          <w:highlight w:val="none"/>
          <w:lang w:val="en-US" w:eastAsia="zh-CN"/>
        </w:rPr>
        <w:t>：</w:t>
      </w:r>
      <w:r>
        <w:rPr>
          <w:rFonts w:hint="eastAsia" w:ascii="宋体" w:hAnsi="宋体" w:eastAsia="宋体" w:cs="宋体"/>
          <w:b w:val="0"/>
          <w:bCs/>
          <w:color w:val="auto"/>
          <w:sz w:val="24"/>
          <w:szCs w:val="24"/>
          <w:highlight w:val="none"/>
          <w:lang w:val="en-US" w:eastAsia="zh-CN"/>
        </w:rPr>
        <w:t>☑</w:t>
      </w:r>
      <w:r>
        <w:rPr>
          <w:rFonts w:hint="eastAsia" w:asciiTheme="minorEastAsia" w:hAnsiTheme="minorEastAsia"/>
          <w:b w:val="0"/>
          <w:bCs/>
          <w:color w:val="auto"/>
          <w:sz w:val="24"/>
          <w:szCs w:val="24"/>
          <w:highlight w:val="none"/>
          <w:lang w:val="en-US" w:eastAsia="zh-CN"/>
        </w:rPr>
        <w:t xml:space="preserve">增值税一般纳税人  </w:t>
      </w:r>
      <w:r>
        <w:rPr>
          <w:rFonts w:hint="eastAsia" w:ascii="宋体" w:hAnsi="宋体" w:eastAsia="宋体" w:cs="宋体"/>
          <w:b w:val="0"/>
          <w:bCs/>
          <w:color w:val="auto"/>
          <w:sz w:val="24"/>
          <w:szCs w:val="24"/>
          <w:highlight w:val="none"/>
          <w:lang w:val="en-US" w:eastAsia="zh-CN"/>
        </w:rPr>
        <w:t>□</w:t>
      </w:r>
      <w:r>
        <w:rPr>
          <w:rFonts w:hint="eastAsia" w:asciiTheme="minorEastAsia" w:hAnsiTheme="minorEastAsia"/>
          <w:b w:val="0"/>
          <w:bCs/>
          <w:color w:val="auto"/>
          <w:sz w:val="24"/>
          <w:szCs w:val="24"/>
          <w:highlight w:val="none"/>
          <w:lang w:val="en-US" w:eastAsia="zh-CN"/>
        </w:rPr>
        <w:t>非增值税一般纳税人</w:t>
      </w:r>
    </w:p>
    <w:p w14:paraId="3BFA45AD">
      <w:pPr>
        <w:spacing w:line="360" w:lineRule="auto"/>
        <w:ind w:firstLine="480" w:firstLineChars="200"/>
        <w:jc w:val="left"/>
        <w:rPr>
          <w:rFonts w:hint="eastAsia" w:ascii="宋体" w:hAnsi="宋体"/>
          <w:b/>
          <w:color w:val="auto"/>
          <w:sz w:val="24"/>
          <w:highlight w:val="none"/>
        </w:rPr>
      </w:pPr>
    </w:p>
    <w:p w14:paraId="74E48B10">
      <w:pPr>
        <w:adjustRightInd w:val="0"/>
        <w:snapToGrid w:val="0"/>
        <w:spacing w:line="360" w:lineRule="auto"/>
        <w:ind w:firstLine="480" w:firstLineChars="200"/>
        <w:jc w:val="left"/>
        <w:rPr>
          <w:rFonts w:hint="default" w:cs="Times New Roman" w:asciiTheme="minorEastAsia" w:hAnsiTheme="minorEastAsia" w:eastAsiaTheme="minorEastAsia"/>
          <w:snapToGrid w:val="0"/>
          <w:color w:val="auto"/>
          <w:kern w:val="0"/>
          <w:sz w:val="28"/>
          <w:szCs w:val="28"/>
          <w:highlight w:val="none"/>
          <w:lang w:val="en-US" w:eastAsia="zh-CN"/>
        </w:rPr>
      </w:pPr>
      <w:r>
        <w:rPr>
          <w:rFonts w:hint="eastAsia" w:ascii="宋体" w:hAnsi="宋体"/>
          <w:b/>
          <w:color w:val="auto"/>
          <w:sz w:val="24"/>
          <w:szCs w:val="28"/>
          <w:highlight w:val="none"/>
        </w:rPr>
        <w:t>乙方账户信息</w:t>
      </w:r>
      <w:r>
        <w:rPr>
          <w:rFonts w:hint="eastAsia" w:ascii="宋体" w:hAnsi="宋体"/>
          <w:b/>
          <w:color w:val="auto"/>
          <w:sz w:val="24"/>
          <w:szCs w:val="28"/>
          <w:highlight w:val="none"/>
          <w:lang w:eastAsia="zh-CN"/>
        </w:rPr>
        <w:t>：</w:t>
      </w:r>
    </w:p>
    <w:p w14:paraId="550FB837">
      <w:pPr>
        <w:adjustRightInd w:val="0"/>
        <w:snapToGrid w:val="0"/>
        <w:spacing w:line="300" w:lineRule="auto"/>
        <w:ind w:firstLine="480" w:firstLineChars="200"/>
        <w:rPr>
          <w:rFonts w:hint="eastAsia" w:asciiTheme="minorEastAsia" w:hAnsiTheme="minorEastAsia"/>
          <w:b/>
          <w:color w:val="auto"/>
          <w:sz w:val="24"/>
          <w:szCs w:val="24"/>
          <w:highlight w:val="none"/>
        </w:rPr>
      </w:pPr>
      <w:r>
        <w:rPr>
          <w:rFonts w:hint="eastAsia" w:asciiTheme="minorEastAsia" w:hAnsiTheme="minorEastAsia"/>
          <w:b/>
          <w:color w:val="auto"/>
          <w:sz w:val="24"/>
          <w:szCs w:val="24"/>
          <w:highlight w:val="none"/>
        </w:rPr>
        <w:t>开户银行：工行北京北新桥支行</w:t>
      </w:r>
    </w:p>
    <w:p w14:paraId="2EA76180">
      <w:pPr>
        <w:adjustRightInd w:val="0"/>
        <w:snapToGrid w:val="0"/>
        <w:spacing w:line="300" w:lineRule="auto"/>
        <w:ind w:firstLine="480" w:firstLineChars="200"/>
        <w:rPr>
          <w:rFonts w:hint="eastAsia" w:asciiTheme="minorEastAsia" w:hAnsiTheme="minorEastAsia"/>
          <w:b/>
          <w:color w:val="auto"/>
          <w:sz w:val="24"/>
          <w:szCs w:val="24"/>
          <w:highlight w:val="none"/>
        </w:rPr>
      </w:pPr>
      <w:r>
        <w:rPr>
          <w:rFonts w:hint="eastAsia" w:asciiTheme="minorEastAsia" w:hAnsiTheme="minorEastAsia"/>
          <w:b/>
          <w:color w:val="auto"/>
          <w:sz w:val="24"/>
          <w:szCs w:val="24"/>
          <w:highlight w:val="none"/>
        </w:rPr>
        <w:t>开 户 名：中国电子技术标准化研究院</w:t>
      </w:r>
    </w:p>
    <w:p w14:paraId="429FED0A">
      <w:pPr>
        <w:adjustRightInd w:val="0"/>
        <w:snapToGrid w:val="0"/>
        <w:spacing w:line="300" w:lineRule="auto"/>
        <w:ind w:firstLine="480" w:firstLineChars="200"/>
        <w:rPr>
          <w:rFonts w:hint="eastAsia" w:asciiTheme="minorEastAsia" w:hAnsiTheme="minorEastAsia"/>
          <w:b/>
          <w:color w:val="auto"/>
          <w:sz w:val="24"/>
          <w:szCs w:val="24"/>
          <w:highlight w:val="none"/>
        </w:rPr>
      </w:pPr>
      <w:r>
        <w:rPr>
          <w:rFonts w:hint="eastAsia" w:asciiTheme="minorEastAsia" w:hAnsiTheme="minorEastAsia"/>
          <w:b/>
          <w:color w:val="auto"/>
          <w:sz w:val="24"/>
          <w:szCs w:val="24"/>
          <w:highlight w:val="none"/>
        </w:rPr>
        <w:t xml:space="preserve">账    </w:t>
      </w:r>
      <w:r>
        <w:rPr>
          <w:rFonts w:hint="eastAsia" w:asciiTheme="minorEastAsia" w:hAnsiTheme="minorEastAsia"/>
          <w:b/>
          <w:color w:val="auto"/>
          <w:sz w:val="24"/>
          <w:szCs w:val="24"/>
          <w:highlight w:val="none"/>
          <w:lang w:val="en-US" w:eastAsia="zh-CN"/>
        </w:rPr>
        <w:t>户</w:t>
      </w:r>
      <w:r>
        <w:rPr>
          <w:rFonts w:hint="eastAsia" w:asciiTheme="minorEastAsia" w:hAnsiTheme="minorEastAsia"/>
          <w:b/>
          <w:color w:val="auto"/>
          <w:sz w:val="24"/>
          <w:szCs w:val="24"/>
          <w:highlight w:val="none"/>
        </w:rPr>
        <w:t>：0200 0043 0908 8116 710</w:t>
      </w:r>
    </w:p>
    <w:p w14:paraId="0E3720C3">
      <w:pPr>
        <w:adjustRightInd w:val="0"/>
        <w:snapToGrid w:val="0"/>
        <w:spacing w:line="300" w:lineRule="auto"/>
        <w:ind w:firstLine="480" w:firstLineChars="200"/>
        <w:rPr>
          <w:rFonts w:hint="eastAsia" w:asciiTheme="minorEastAsia" w:hAnsiTheme="minorEastAsia"/>
          <w:b/>
          <w:color w:val="auto"/>
          <w:sz w:val="24"/>
          <w:szCs w:val="24"/>
          <w:highlight w:val="none"/>
        </w:rPr>
      </w:pPr>
      <w:bookmarkStart w:id="7" w:name="auto_fouce_6"/>
      <w:r>
        <w:rPr>
          <w:rFonts w:hint="eastAsia" w:asciiTheme="minorEastAsia" w:hAnsiTheme="minorEastAsia"/>
          <w:b/>
          <w:color w:val="auto"/>
          <w:sz w:val="24"/>
          <w:szCs w:val="24"/>
          <w:highlight w:val="none"/>
        </w:rPr>
        <w:t>税    号：</w:t>
      </w:r>
      <w:r>
        <w:rPr>
          <w:rFonts w:hint="eastAsia" w:asciiTheme="minorEastAsia" w:hAnsiTheme="minorEastAsia"/>
          <w:b/>
          <w:color w:val="auto"/>
          <w:sz w:val="24"/>
          <w:szCs w:val="24"/>
          <w:highlight w:val="none"/>
          <w:lang w:val="en-US" w:eastAsia="zh-CN"/>
        </w:rPr>
        <w:t> </w:t>
      </w:r>
      <w:r>
        <w:rPr>
          <w:rFonts w:hint="default" w:asciiTheme="minorEastAsia" w:hAnsiTheme="minorEastAsia"/>
          <w:b/>
          <w:color w:val="auto"/>
          <w:sz w:val="24"/>
          <w:szCs w:val="24"/>
          <w:highlight w:val="none"/>
          <w:lang w:val="en-US" w:eastAsia="zh-CN"/>
        </w:rPr>
        <w:t>12100000400002195R</w:t>
      </w:r>
      <w:bookmarkEnd w:id="7"/>
    </w:p>
    <w:p w14:paraId="17A7AE4B">
      <w:pPr>
        <w:adjustRightInd w:val="0"/>
        <w:snapToGrid w:val="0"/>
        <w:spacing w:line="300" w:lineRule="auto"/>
        <w:ind w:firstLine="480" w:firstLineChars="200"/>
        <w:rPr>
          <w:rFonts w:asciiTheme="minorEastAsia" w:hAnsiTheme="minorEastAsia"/>
          <w:color w:val="auto"/>
          <w:sz w:val="24"/>
          <w:szCs w:val="24"/>
          <w:highlight w:val="yellow"/>
        </w:rPr>
      </w:pPr>
    </w:p>
    <w:p w14:paraId="1B008771">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第四条 检测方式</w:t>
      </w:r>
    </w:p>
    <w:p w14:paraId="252BA2E6">
      <w:commentRangeStart w:id="4"/>
      <w:commentRangeStart w:id="3"/>
      <w:pPr>
        <w:adjustRightInd w:val="0"/>
        <w:snapToGrid w:val="0"/>
        <w:spacing w:line="300" w:lineRule="auto"/>
        <w:ind w:firstLine="560"/>
        <w:rPr>
          <w:rFonts w:cs="Times New Roman" w:asciiTheme="minorEastAsia" w:hAnsiTheme="minorEastAsia"/>
          <w:snapToGrid w:val="0"/>
          <w:color w:val="auto"/>
          <w:kern w:val="0"/>
          <w:sz w:val="24"/>
          <w:szCs w:val="24"/>
          <w:highlight w:val="none"/>
        </w:rPr>
      </w:pPr>
      <w:bookmarkStart w:id="8" w:name="auto_fouce_7"/>
      <w:r>
        <w:rPr>
          <w:rFonts w:hint="eastAsia" w:cs="Times New Roman" w:asciiTheme="minorEastAsia" w:hAnsiTheme="minorEastAsia"/>
          <w:snapToGrid w:val="0"/>
          <w:color w:val="auto"/>
          <w:kern w:val="0"/>
          <w:sz w:val="24"/>
          <w:szCs w:val="24"/>
          <w:highlight w:val="none"/>
        </w:rPr>
        <w:t>甲方向乙方提供</w:t>
      </w:r>
      <w:r>
        <w:rPr>
          <w:rFonts w:hint="eastAsia" w:cs="Times New Roman" w:asciiTheme="minorEastAsia" w:hAnsiTheme="minorEastAsia"/>
          <w:snapToGrid w:val="0"/>
          <w:color w:val="auto"/>
          <w:kern w:val="0"/>
          <w:sz w:val="24"/>
          <w:szCs w:val="24"/>
          <w:highlight w:val="none"/>
          <w:u w:val="single"/>
          <w:lang w:eastAsia="zh-CN"/>
        </w:rPr>
        <w:t>“机密计算与可信执行环境关键技术和应用研究项目”</w:t>
      </w:r>
      <w:r>
        <w:rPr>
          <w:rFonts w:hint="eastAsia" w:cs="Times New Roman" w:asciiTheme="minorEastAsia" w:hAnsiTheme="minorEastAsia"/>
          <w:snapToGrid w:val="0"/>
          <w:color w:val="auto"/>
          <w:kern w:val="0"/>
          <w:sz w:val="24"/>
          <w:szCs w:val="24"/>
          <w:highlight w:val="none"/>
          <w:u w:val="single"/>
          <w:lang w:val="en-US" w:eastAsia="zh-CN"/>
        </w:rPr>
        <w:t>所研发的</w:t>
      </w:r>
      <w:r>
        <w:rPr>
          <w:rFonts w:hint="eastAsia" w:cs="Times New Roman" w:asciiTheme="minorEastAsia" w:hAnsiTheme="minorEastAsia"/>
          <w:snapToGrid w:val="0"/>
          <w:color w:val="auto"/>
          <w:kern w:val="0"/>
          <w:sz w:val="24"/>
          <w:szCs w:val="24"/>
          <w:highlight w:val="none"/>
          <w:u w:val="single"/>
          <w:lang w:eastAsia="zh-CN"/>
        </w:rPr>
        <w:t>“可信执行环境和同态加密混合国产异构系统</w:t>
      </w:r>
      <w:r>
        <w:rPr>
          <w:rFonts w:hint="eastAsia" w:cs="Times New Roman" w:asciiTheme="minorEastAsia" w:hAnsiTheme="minorEastAsia"/>
          <w:snapToGrid w:val="0"/>
          <w:color w:val="auto"/>
          <w:kern w:val="0"/>
          <w:sz w:val="24"/>
          <w:szCs w:val="24"/>
          <w:highlight w:val="none"/>
          <w:u w:val="single"/>
        </w:rPr>
        <w:t>”</w:t>
      </w:r>
      <w:r>
        <w:rPr>
          <w:rFonts w:hint="eastAsia" w:asciiTheme="minorEastAsia" w:hAnsiTheme="minorEastAsia"/>
          <w:color w:val="auto"/>
          <w:sz w:val="24"/>
          <w:szCs w:val="24"/>
          <w:highlight w:val="none"/>
          <w:lang w:val="en-US" w:eastAsia="zh-CN"/>
        </w:rPr>
        <w:t>中的</w:t>
      </w:r>
      <w:r>
        <w:rPr>
          <w:rFonts w:hint="eastAsia" w:asciiTheme="minorEastAsia" w:hAnsiTheme="minorEastAsia"/>
          <w:color w:val="auto"/>
          <w:sz w:val="24"/>
          <w:szCs w:val="24"/>
          <w:highlight w:val="none"/>
          <w:u w:val="single"/>
          <w:lang w:val="en-US" w:eastAsia="zh-CN"/>
        </w:rPr>
        <w:t>“基于可信执行环境的同态加密计算加速系统”</w:t>
      </w:r>
      <w:r>
        <w:rPr>
          <w:rFonts w:hint="eastAsia" w:cs="Times New Roman" w:asciiTheme="minorEastAsia" w:hAnsiTheme="minorEastAsia"/>
          <w:snapToGrid w:val="0"/>
          <w:color w:val="auto"/>
          <w:kern w:val="0"/>
          <w:sz w:val="24"/>
          <w:szCs w:val="24"/>
          <w:highlight w:val="none"/>
          <w:u w:val="none"/>
          <w:lang w:val="en-US" w:eastAsia="zh-CN"/>
        </w:rPr>
        <w:t>系统/</w:t>
      </w:r>
      <w:r>
        <w:rPr>
          <w:rFonts w:hint="eastAsia" w:cs="Times New Roman" w:asciiTheme="minorEastAsia" w:hAnsiTheme="minorEastAsia"/>
          <w:snapToGrid w:val="0"/>
          <w:color w:val="auto"/>
          <w:kern w:val="0"/>
          <w:sz w:val="24"/>
          <w:szCs w:val="24"/>
          <w:highlight w:val="none"/>
        </w:rPr>
        <w:t>产品</w:t>
      </w:r>
      <w:r>
        <w:rPr>
          <w:rFonts w:hint="eastAsia" w:asciiTheme="minorEastAsia" w:hAnsiTheme="minorEastAsia"/>
          <w:color w:val="auto"/>
          <w:sz w:val="24"/>
          <w:szCs w:val="24"/>
          <w:highlight w:val="none"/>
        </w:rPr>
        <w:t>样品、乙方所要求的</w:t>
      </w:r>
      <w:r>
        <w:rPr>
          <w:rFonts w:hint="eastAsia" w:cs="Times New Roman" w:asciiTheme="minorEastAsia" w:hAnsiTheme="minorEastAsia"/>
          <w:snapToGrid w:val="0"/>
          <w:color w:val="auto"/>
          <w:kern w:val="0"/>
          <w:sz w:val="24"/>
          <w:szCs w:val="24"/>
          <w:highlight w:val="none"/>
        </w:rPr>
        <w:t>技术资料、辅助工具和设备，由乙方独立对送检样品进行</w:t>
      </w:r>
      <w:r>
        <w:rPr>
          <w:rFonts w:hint="eastAsia" w:cs="Times New Roman" w:asciiTheme="minorEastAsia" w:hAnsiTheme="minorEastAsia"/>
          <w:snapToGrid w:val="0"/>
          <w:color w:val="auto"/>
          <w:kern w:val="0"/>
          <w:sz w:val="24"/>
          <w:szCs w:val="24"/>
          <w:highlight w:val="none"/>
          <w:lang w:val="en-US" w:eastAsia="zh-CN"/>
        </w:rPr>
        <w:t>验收</w:t>
      </w:r>
      <w:r>
        <w:rPr>
          <w:rFonts w:hint="eastAsia" w:cs="Times New Roman" w:asciiTheme="minorEastAsia" w:hAnsiTheme="minorEastAsia"/>
          <w:snapToGrid w:val="0"/>
          <w:color w:val="auto"/>
          <w:kern w:val="0"/>
          <w:sz w:val="24"/>
          <w:szCs w:val="24"/>
          <w:highlight w:val="none"/>
        </w:rPr>
        <w:t>检测。测试过程中受测样品会进行破拆和存档，检测样品不会退换，大型设备在</w:t>
      </w:r>
      <w:r>
        <w:rPr>
          <w:rFonts w:hint="eastAsia" w:cs="Times New Roman" w:asciiTheme="minorEastAsia" w:hAnsiTheme="minorEastAsia"/>
          <w:snapToGrid w:val="0"/>
          <w:color w:val="auto"/>
          <w:kern w:val="0"/>
          <w:sz w:val="24"/>
          <w:szCs w:val="24"/>
          <w:highlight w:val="none"/>
          <w:lang w:val="en-US" w:eastAsia="zh-CN"/>
        </w:rPr>
        <w:t>检测完成后</w:t>
      </w:r>
      <w:r>
        <w:rPr>
          <w:rFonts w:hint="eastAsia" w:cs="Times New Roman" w:asciiTheme="minorEastAsia" w:hAnsiTheme="minorEastAsia"/>
          <w:snapToGrid w:val="0"/>
          <w:color w:val="auto"/>
          <w:kern w:val="0"/>
          <w:sz w:val="24"/>
          <w:szCs w:val="24"/>
          <w:highlight w:val="none"/>
        </w:rPr>
        <w:t>退还。</w:t>
      </w:r>
      <w:bookmarkEnd w:id="8"/>
      <w:commentRangeEnd w:id="3"/>
      <w:r>
        <w:commentReference w:id="3"/>
      </w:r>
      <w:commentRangeEnd w:id="4"/>
      <w:r>
        <w:commentReference w:id="4"/>
      </w:r>
    </w:p>
    <w:p w14:paraId="1DDE7102">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第五条 保密要求</w:t>
      </w:r>
    </w:p>
    <w:p w14:paraId="3B1E3186">
      <w:commentRangeStart w:id="5"/>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1、双方应共同遵守保密条款，本合同书的内容不经对方书面许可，任何一方都不得以任何形式向第三方透露。</w:t>
      </w:r>
      <w:commentRangeEnd w:id="5"/>
      <w:r>
        <w:commentReference w:id="5"/>
      </w:r>
    </w:p>
    <w:p w14:paraId="60AE99CA">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2、双方应互相保守对方的商业机密。除本专项规定可公开发布信息外、双方保证对方的业务活动、技术资料等其他信息不得公开泄露。</w:t>
      </w:r>
    </w:p>
    <w:p w14:paraId="01CF564C">
      <w:commentRangeStart w:id="6"/>
      <w:pPr>
        <w:adjustRightInd w:val="0"/>
        <w:snapToGrid w:val="0"/>
        <w:spacing w:line="300" w:lineRule="auto"/>
        <w:ind w:firstLine="480" w:firstLineChars="200"/>
        <w:rPr>
          <w:rFonts w:hint="eastAsia" w:asciiTheme="minorEastAsia" w:hAnsiTheme="minorEastAsia" w:eastAsiaTheme="minorEastAsia"/>
          <w:color w:val="auto"/>
          <w:sz w:val="24"/>
          <w:szCs w:val="24"/>
          <w:highlight w:val="none"/>
          <w:lang w:eastAsia="zh-CN"/>
        </w:rPr>
      </w:pPr>
      <w:r>
        <w:rPr>
          <w:rFonts w:hint="eastAsia" w:asciiTheme="minorEastAsia" w:hAnsiTheme="minorEastAsia"/>
          <w:color w:val="auto"/>
          <w:sz w:val="24"/>
          <w:szCs w:val="24"/>
          <w:highlight w:val="none"/>
        </w:rPr>
        <w:t>3、本保密条款在本合同书到期后3年内继续保持有效。</w:t>
      </w:r>
      <w:bookmarkStart w:id="9" w:name="auto_fouce_9"/>
      <w:commentRangeEnd w:id="6"/>
      <w:r>
        <w:commentReference w:id="6"/>
      </w:r>
    </w:p>
    <w:bookmarkEnd w:id="9"/>
    <w:p w14:paraId="6CCF2810">
      <w:pPr>
        <w:adjustRightInd w:val="0"/>
        <w:snapToGrid w:val="0"/>
        <w:spacing w:line="300" w:lineRule="auto"/>
        <w:ind w:firstLine="480" w:firstLineChars="200"/>
        <w:rPr>
          <w:rFonts w:hint="eastAsia" w:asciiTheme="minorEastAsia" w:hAnsiTheme="minorEastAsia" w:eastAsiaTheme="minorEastAsia"/>
          <w:color w:val="auto"/>
          <w:sz w:val="24"/>
          <w:szCs w:val="24"/>
          <w:highlight w:val="none"/>
          <w:lang w:eastAsia="zh-CN"/>
        </w:rPr>
      </w:pPr>
    </w:p>
    <w:p w14:paraId="30CFC72C">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第六条</w:t>
      </w:r>
      <w:r>
        <w:rPr>
          <w:rFonts w:hint="eastAsia" w:cs="Times New Roman" w:asciiTheme="minorEastAsia" w:hAnsiTheme="minorEastAsia"/>
          <w:b/>
          <w:snapToGrid w:val="0"/>
          <w:color w:val="auto"/>
          <w:kern w:val="0"/>
          <w:sz w:val="24"/>
          <w:szCs w:val="24"/>
          <w:highlight w:val="none"/>
          <w:lang w:val="en-US" w:eastAsia="zh-CN"/>
        </w:rPr>
        <w:t xml:space="preserve"> </w:t>
      </w:r>
      <w:r>
        <w:rPr>
          <w:rFonts w:hint="eastAsia" w:cs="Times New Roman" w:asciiTheme="minorEastAsia" w:hAnsiTheme="minorEastAsia"/>
          <w:b/>
          <w:snapToGrid w:val="0"/>
          <w:color w:val="auto"/>
          <w:kern w:val="0"/>
          <w:sz w:val="24"/>
          <w:szCs w:val="24"/>
          <w:highlight w:val="none"/>
        </w:rPr>
        <w:t>合同终止</w:t>
      </w:r>
    </w:p>
    <w:p w14:paraId="1E27A013">
      <w:commentRangeStart w:id="7"/>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在本合同有效期内如一方出现破产、无力偿付、清算或公司解散的情况时，则另一方有权在不提前给对方发出任何通知的前提下，即刻通知终止本合同的履行。</w:t>
      </w:r>
      <w:commentRangeEnd w:id="7"/>
      <w:r>
        <w:commentReference w:id="7"/>
      </w:r>
    </w:p>
    <w:p w14:paraId="0FFF973B">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第七条 不可抗力</w:t>
      </w:r>
    </w:p>
    <w:p w14:paraId="6D97A936">
      <w:commentRangeStart w:id="8"/>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由于不可抗力（包括地震、台风、洪水、火灾、战争、罢工、政府禁令以及双方均不可预见、不能控制的事情或情况）导致本合同不能履行，任何一方均不会因此而承担违约责任。</w:t>
      </w:r>
      <w:commentRangeEnd w:id="8"/>
      <w:r>
        <w:commentReference w:id="8"/>
      </w:r>
    </w:p>
    <w:p w14:paraId="02711114">
      <w:pPr>
        <w:numPr>
          <w:ilvl w:val="12"/>
          <w:numId w:val="0"/>
        </w:num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ind w:firstLine="0" w:firstLineChars="0"/>
        <w:outlineLvl w:val="0"/>
        <w:rPr>
          <w:rFonts w:hint="eastAsia" w:cs="Times New Roman" w:asciiTheme="minorEastAsia" w:hAnsiTheme="minorEastAsia"/>
          <w:b/>
          <w:snapToGrid w:val="0"/>
          <w:color w:val="auto"/>
          <w:kern w:val="0"/>
          <w:sz w:val="24"/>
          <w:szCs w:val="24"/>
          <w:highlight w:val="none"/>
          <w:lang w:val="en-US" w:eastAsia="zh-CN"/>
        </w:rPr>
      </w:pPr>
      <w:r>
        <w:rPr>
          <w:rFonts w:hint="eastAsia" w:cs="Times New Roman" w:asciiTheme="minorEastAsia" w:hAnsiTheme="minorEastAsia"/>
          <w:b/>
          <w:snapToGrid w:val="0"/>
          <w:color w:val="auto"/>
          <w:kern w:val="0"/>
          <w:sz w:val="24"/>
          <w:szCs w:val="24"/>
          <w:highlight w:val="none"/>
          <w:lang w:val="en-US" w:eastAsia="zh-CN"/>
        </w:rPr>
        <w:t>第八条 违约责任</w:t>
      </w:r>
    </w:p>
    <w:p w14:paraId="6E4B9328">
      <w:commentRangeStart w:id="9"/>
      <w:pPr>
        <w:adjustRightInd w:val="0"/>
        <w:snapToGrid w:val="0"/>
        <w:spacing w:line="300" w:lineRule="auto"/>
        <w:ind w:firstLine="480" w:firstLineChars="200"/>
        <w:outlineLvl w:val="9"/>
        <w:rPr>
          <w:rFonts w:hint="eastAsia" w:asciiTheme="minorEastAsia" w:hAnsiTheme="minorEastAsia" w:cstheme="minorBidi"/>
          <w:b w:val="0"/>
          <w:snapToGrid/>
          <w:color w:val="auto"/>
          <w:kern w:val="2"/>
          <w:sz w:val="24"/>
          <w:szCs w:val="24"/>
          <w:highlight w:val="none"/>
          <w:lang w:val="en-US" w:eastAsia="zh-CN"/>
        </w:rPr>
      </w:pPr>
      <w:r>
        <w:rPr>
          <w:rFonts w:hint="eastAsia" w:asciiTheme="minorEastAsia" w:hAnsiTheme="minorEastAsia" w:cstheme="minorBidi"/>
          <w:b w:val="0"/>
          <w:snapToGrid/>
          <w:color w:val="auto"/>
          <w:kern w:val="2"/>
          <w:sz w:val="24"/>
          <w:szCs w:val="24"/>
          <w:highlight w:val="none"/>
          <w:lang w:val="en-US" w:eastAsia="zh-CN"/>
        </w:rPr>
        <w:t>1、</w:t>
      </w:r>
      <w:bookmarkStart w:id="10" w:name="auto_fouce_10"/>
      <w:r>
        <w:rPr>
          <w:rFonts w:hint="eastAsia" w:asciiTheme="minorEastAsia" w:hAnsiTheme="minorEastAsia" w:cstheme="minorBidi"/>
          <w:b w:val="0"/>
          <w:snapToGrid/>
          <w:color w:val="auto"/>
          <w:kern w:val="2"/>
          <w:sz w:val="24"/>
          <w:szCs w:val="24"/>
          <w:highlight w:val="none"/>
          <w:lang w:val="en-US" w:eastAsia="zh-CN"/>
        </w:rPr>
        <w:t>甲方应当按照合同约定向乙方支付检测费用，如未按合同约定支付，每逾期一天应当以未付费用为基数，按每日万分之五向乙方支付违约金；逾期超过30天的，乙方有权书面通知甲方在规定期间内改正，甲方接到通知后仍未在乙方通知期限内改正的，乙方有权决定是否书面单方面通知甲方解除合同，乙方决定解除合同的，甲方除应支付未付款项本金外，仍应当向乙方支付违约金。</w:t>
      </w:r>
      <w:bookmarkEnd w:id="10"/>
      <w:commentRangeEnd w:id="9"/>
      <w:r>
        <w:commentReference w:id="9"/>
      </w:r>
    </w:p>
    <w:p w14:paraId="51DE91A4">
      <w:commentRangeStart w:id="10"/>
      <w:pPr>
        <w:numPr>
          <w:ilvl w:val="12"/>
          <w:numId w:val="0"/>
        </w:numPr>
        <w:adjustRightInd w:val="0"/>
        <w:snapToGrid w:val="0"/>
        <w:spacing w:line="300" w:lineRule="auto"/>
        <w:ind w:firstLine="480" w:firstLineChars="200"/>
        <w:outlineLvl w:val="9"/>
        <w:rPr>
          <w:rFonts w:hint="default" w:cs="Times New Roman" w:asciiTheme="minorEastAsia" w:hAnsiTheme="minorEastAsia"/>
          <w:b/>
          <w:snapToGrid w:val="0"/>
          <w:color w:val="auto"/>
          <w:kern w:val="0"/>
          <w:sz w:val="24"/>
          <w:szCs w:val="24"/>
          <w:highlight w:val="none"/>
          <w:lang w:val="en-US" w:eastAsia="zh-CN"/>
        </w:rPr>
      </w:pPr>
      <w:bookmarkStart w:id="11" w:name="auto_fouce_11"/>
      <w:r>
        <w:rPr>
          <w:rFonts w:hint="eastAsia" w:asciiTheme="minorEastAsia" w:hAnsiTheme="minorEastAsia" w:cstheme="minorBidi"/>
          <w:b w:val="0"/>
          <w:snapToGrid/>
          <w:color w:val="auto"/>
          <w:kern w:val="2"/>
          <w:sz w:val="24"/>
          <w:szCs w:val="24"/>
          <w:highlight w:val="none"/>
          <w:lang w:val="en-US" w:eastAsia="zh-CN"/>
        </w:rPr>
        <w:t>2 、乙方应当按照合同约定向甲方交付检测成果，如未按合同约定交付，每逾期一天应当以本阶段应付费用为基数，按每日万分之五向甲方支付违约金；逾期超过30天的，甲方有权书面通知乙方在规定期间内改正，乙方接到通知后仍未在通知期限内改正的，甲方有权决定是否书面单方面通知乙方解除合同，甲方决定解除合同的，除乙方应完成未完成检测外，仍应当向甲方支付违约金。</w:t>
      </w:r>
      <w:bookmarkEnd w:id="11"/>
      <w:commentRangeEnd w:id="10"/>
      <w:r>
        <w:commentReference w:id="10"/>
      </w:r>
    </w:p>
    <w:p w14:paraId="5EF1C37D">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w:t>
      </w:r>
      <w:r>
        <w:rPr>
          <w:rFonts w:hint="eastAsia" w:cs="Times New Roman" w:asciiTheme="minorEastAsia" w:hAnsiTheme="minorEastAsia"/>
          <w:b/>
          <w:snapToGrid w:val="0"/>
          <w:color w:val="auto"/>
          <w:kern w:val="0"/>
          <w:sz w:val="24"/>
          <w:szCs w:val="24"/>
          <w:highlight w:val="none"/>
          <w:lang w:val="en-US" w:eastAsia="zh-CN"/>
        </w:rPr>
        <w:t>九</w:t>
      </w:r>
      <w:r>
        <w:rPr>
          <w:rFonts w:hint="eastAsia" w:cs="Times New Roman" w:asciiTheme="minorEastAsia" w:hAnsiTheme="minorEastAsia"/>
          <w:b/>
          <w:snapToGrid w:val="0"/>
          <w:color w:val="auto"/>
          <w:kern w:val="0"/>
          <w:sz w:val="24"/>
          <w:szCs w:val="24"/>
          <w:highlight w:val="none"/>
        </w:rPr>
        <w:t>条 诉讼</w:t>
      </w:r>
    </w:p>
    <w:p w14:paraId="4C0F542F">
      <w:commentRangeStart w:id="11"/>
      <w:pPr>
        <w:adjustRightInd w:val="0"/>
        <w:snapToGrid w:val="0"/>
        <w:spacing w:line="276" w:lineRule="auto"/>
        <w:ind w:firstLine="480" w:firstLineChars="200"/>
        <w:jc w:val="left"/>
        <w:rPr>
          <w:rFonts w:asciiTheme="minorEastAsia" w:hAnsiTheme="minorEastAsia"/>
          <w:color w:val="auto"/>
          <w:sz w:val="24"/>
          <w:szCs w:val="24"/>
          <w:highlight w:val="none"/>
        </w:rPr>
      </w:pPr>
      <w:bookmarkStart w:id="12" w:name="auto_fouce_13"/>
      <w:r>
        <w:rPr>
          <w:rFonts w:hint="eastAsia" w:asciiTheme="minorEastAsia" w:hAnsiTheme="minorEastAsia"/>
          <w:color w:val="auto"/>
          <w:sz w:val="24"/>
          <w:szCs w:val="24"/>
          <w:highlight w:val="none"/>
        </w:rPr>
        <w:t>因合同产生的争议由甲乙双方协商解决</w:t>
      </w:r>
      <w:r>
        <w:rPr>
          <w:rFonts w:hint="eastAsia" w:asciiTheme="minorEastAsia" w:hAnsiTheme="minorEastAsia"/>
          <w:color w:val="auto"/>
          <w:sz w:val="24"/>
          <w:szCs w:val="24"/>
          <w:highlight w:val="none"/>
          <w:lang w:eastAsia="zh-CN"/>
        </w:rPr>
        <w:t>。</w:t>
      </w:r>
      <w:r>
        <w:rPr>
          <w:rFonts w:hint="eastAsia" w:asciiTheme="minorEastAsia" w:hAnsiTheme="minorEastAsia"/>
          <w:color w:val="auto"/>
          <w:sz w:val="24"/>
          <w:szCs w:val="24"/>
          <w:highlight w:val="none"/>
        </w:rPr>
        <w:t>必要时可通过法律途径诉讼解决。</w:t>
      </w:r>
      <w:r>
        <w:rPr>
          <w:rFonts w:hint="eastAsia" w:asciiTheme="minorEastAsia" w:hAnsiTheme="minorEastAsia"/>
          <w:color w:val="auto"/>
          <w:sz w:val="24"/>
          <w:szCs w:val="24"/>
          <w:highlight w:val="none"/>
          <w:lang w:val="en-US" w:eastAsia="zh-CN"/>
        </w:rPr>
        <w:t>双方一致同意，若履行产生争议，应当将争议提交至甲方所在地有管辖权的法院诉讼处理。没有争议的条款，双方应当继续履行。</w:t>
      </w:r>
      <w:bookmarkEnd w:id="12"/>
      <w:commentRangeEnd w:id="11"/>
      <w:r>
        <w:commentReference w:id="11"/>
      </w:r>
    </w:p>
    <w:p w14:paraId="21DD2831">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w:t>
      </w:r>
      <w:r>
        <w:rPr>
          <w:rFonts w:hint="eastAsia" w:cs="Times New Roman" w:asciiTheme="minorEastAsia" w:hAnsiTheme="minorEastAsia"/>
          <w:b/>
          <w:snapToGrid w:val="0"/>
          <w:color w:val="auto"/>
          <w:kern w:val="0"/>
          <w:sz w:val="24"/>
          <w:szCs w:val="24"/>
          <w:highlight w:val="none"/>
          <w:lang w:val="en-US" w:eastAsia="zh-CN"/>
        </w:rPr>
        <w:t>十</w:t>
      </w:r>
      <w:r>
        <w:rPr>
          <w:rFonts w:hint="eastAsia" w:cs="Times New Roman" w:asciiTheme="minorEastAsia" w:hAnsiTheme="minorEastAsia"/>
          <w:b/>
          <w:snapToGrid w:val="0"/>
          <w:color w:val="auto"/>
          <w:kern w:val="0"/>
          <w:sz w:val="24"/>
          <w:szCs w:val="24"/>
          <w:highlight w:val="none"/>
        </w:rPr>
        <w:t>条 其他</w:t>
      </w:r>
    </w:p>
    <w:p w14:paraId="1D851C4C">
      <w:pPr>
        <w:adjustRightInd w:val="0"/>
        <w:snapToGrid w:val="0"/>
        <w:spacing w:line="300" w:lineRule="auto"/>
        <w:ind w:left="105" w:leftChars="50" w:firstLine="360" w:firstLineChars="15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本合同经双方法定代表人或授权代表签署并加盖单位公章（或合同专用章）后生效。</w:t>
      </w:r>
    </w:p>
    <w:p w14:paraId="57C783B8">
      <w:pPr>
        <w:adjustRightInd w:val="0"/>
        <w:snapToGrid w:val="0"/>
        <w:spacing w:line="300" w:lineRule="auto"/>
        <w:ind w:left="105" w:leftChars="50" w:firstLine="360" w:firstLineChars="150"/>
        <w:rPr>
          <w:rFonts w:hint="eastAsia" w:asciiTheme="minorEastAsia" w:hAnsiTheme="minorEastAsia"/>
          <w:color w:val="auto"/>
          <w:sz w:val="24"/>
          <w:szCs w:val="24"/>
          <w:highlight w:val="none"/>
        </w:rPr>
      </w:pPr>
      <w:bookmarkStart w:id="13" w:name="auto_fouce_14"/>
      <w:r>
        <w:rPr>
          <w:rFonts w:hint="eastAsia" w:asciiTheme="minorEastAsia" w:hAnsiTheme="minorEastAsia"/>
          <w:color w:val="auto"/>
          <w:sz w:val="24"/>
          <w:szCs w:val="24"/>
          <w:highlight w:val="none"/>
        </w:rPr>
        <w:t>未尽事宜由双方协商解决。本合同一式</w:t>
      </w:r>
      <w:r>
        <w:rPr>
          <w:rFonts w:hint="eastAsia" w:asciiTheme="minorEastAsia" w:hAnsiTheme="minorEastAsia"/>
          <w:color w:val="auto"/>
          <w:sz w:val="24"/>
          <w:szCs w:val="24"/>
          <w:highlight w:val="none"/>
          <w:u w:val="single"/>
        </w:rPr>
        <w:t>陆</w:t>
      </w:r>
      <w:r>
        <w:rPr>
          <w:rFonts w:hint="eastAsia" w:asciiTheme="minorEastAsia" w:hAnsiTheme="minorEastAsia"/>
          <w:color w:val="auto"/>
          <w:sz w:val="24"/>
          <w:szCs w:val="24"/>
          <w:highlight w:val="none"/>
        </w:rPr>
        <w:t>份</w:t>
      </w:r>
      <w:r>
        <w:rPr>
          <w:rFonts w:hint="eastAsia" w:asciiTheme="minorEastAsia" w:hAnsiTheme="minorEastAsia"/>
          <w:color w:val="auto"/>
          <w:sz w:val="24"/>
          <w:szCs w:val="24"/>
          <w:highlight w:val="none"/>
          <w:lang w:eastAsia="zh-CN"/>
        </w:rPr>
        <w:t>，</w:t>
      </w:r>
      <w:r>
        <w:rPr>
          <w:rFonts w:hint="eastAsia" w:asciiTheme="minorEastAsia" w:hAnsiTheme="minorEastAsia"/>
          <w:color w:val="auto"/>
          <w:sz w:val="24"/>
          <w:szCs w:val="24"/>
          <w:highlight w:val="none"/>
        </w:rPr>
        <w:t>由甲、乙双方各执</w:t>
      </w:r>
      <w:r>
        <w:rPr>
          <w:rFonts w:hint="eastAsia" w:asciiTheme="minorEastAsia" w:hAnsiTheme="minorEastAsia"/>
          <w:color w:val="auto"/>
          <w:sz w:val="24"/>
          <w:szCs w:val="24"/>
          <w:highlight w:val="none"/>
          <w:u w:val="single"/>
        </w:rPr>
        <w:t>叁</w:t>
      </w:r>
      <w:r>
        <w:rPr>
          <w:rFonts w:hint="eastAsia" w:asciiTheme="minorEastAsia" w:hAnsiTheme="minorEastAsia"/>
          <w:color w:val="auto"/>
          <w:sz w:val="24"/>
          <w:szCs w:val="24"/>
          <w:highlight w:val="none"/>
        </w:rPr>
        <w:t>份。</w:t>
      </w:r>
      <w:bookmarkEnd w:id="13"/>
    </w:p>
    <w:p w14:paraId="63E89313">
      <w:pPr>
        <w:adjustRightInd w:val="0"/>
        <w:snapToGrid w:val="0"/>
        <w:spacing w:line="300" w:lineRule="auto"/>
        <w:rPr>
          <w:rFonts w:hint="eastAsia" w:asciiTheme="minorEastAsia" w:hAnsiTheme="minorEastAsia"/>
          <w:color w:val="auto"/>
          <w:sz w:val="24"/>
          <w:szCs w:val="24"/>
          <w:highlight w:val="none"/>
        </w:rPr>
      </w:pPr>
    </w:p>
    <w:p w14:paraId="6879D862">
      <w:pPr>
        <w:adjustRightInd w:val="0"/>
        <w:snapToGrid w:val="0"/>
        <w:spacing w:line="300" w:lineRule="auto"/>
        <w:rPr>
          <w:rFonts w:hint="eastAsia" w:asciiTheme="minorEastAsia" w:hAnsiTheme="minorEastAsia"/>
          <w:color w:val="auto"/>
          <w:sz w:val="24"/>
          <w:szCs w:val="24"/>
          <w:highlight w:val="none"/>
          <w:lang w:val="en-US" w:eastAsia="zh-CN"/>
        </w:rPr>
      </w:pPr>
    </w:p>
    <w:p w14:paraId="02A9C618">
      <w:pPr>
        <w:adjustRightInd w:val="0"/>
        <w:snapToGrid w:val="0"/>
        <w:spacing w:line="300" w:lineRule="auto"/>
        <w:rPr>
          <w:rFonts w:hint="eastAsia" w:asciiTheme="minorEastAsia" w:hAnsiTheme="minorEastAsia"/>
          <w:color w:val="auto"/>
          <w:sz w:val="24"/>
          <w:szCs w:val="24"/>
          <w:highlight w:val="none"/>
          <w:lang w:val="en-US" w:eastAsia="zh-CN"/>
        </w:rPr>
      </w:pPr>
    </w:p>
    <w:p w14:paraId="11862EBE">
      <w:pPr>
        <w:adjustRightInd w:val="0"/>
        <w:snapToGrid w:val="0"/>
        <w:spacing w:line="300" w:lineRule="auto"/>
        <w:rPr>
          <w:rFonts w:hint="default" w:asciiTheme="minorEastAsia" w:hAnsiTheme="minorEastAsia" w:eastAsiaTheme="minorEastAsia"/>
          <w:color w:val="auto"/>
          <w:sz w:val="24"/>
          <w:szCs w:val="24"/>
          <w:highlight w:val="none"/>
          <w:lang w:val="en-US" w:eastAsia="zh-CN"/>
        </w:rPr>
      </w:pPr>
      <w:r>
        <w:rPr>
          <w:rFonts w:hint="eastAsia" w:asciiTheme="minorEastAsia" w:hAnsiTheme="minorEastAsia"/>
          <w:color w:val="auto"/>
          <w:sz w:val="24"/>
          <w:szCs w:val="24"/>
          <w:highlight w:val="none"/>
        </w:rPr>
        <w:t>甲方：</w:t>
      </w:r>
      <w:r>
        <w:rPr>
          <w:rFonts w:hint="eastAsia" w:asciiTheme="minorEastAsia" w:hAnsiTheme="minorEastAsia"/>
          <w:color w:val="auto"/>
          <w:sz w:val="24"/>
          <w:szCs w:val="24"/>
          <w:highlight w:val="none"/>
          <w:lang w:val="en-US" w:eastAsia="zh-CN"/>
        </w:rPr>
        <w:t>南湖实验室</w:t>
      </w:r>
    </w:p>
    <w:p w14:paraId="0C5817B6">
      <w:pPr>
        <w:adjustRightInd w:val="0"/>
        <w:snapToGrid w:val="0"/>
        <w:spacing w:line="300" w:lineRule="auto"/>
        <w:rPr>
          <w:rFonts w:asciiTheme="minorEastAsia" w:hAnsiTheme="minorEastAsia"/>
          <w:color w:val="auto"/>
          <w:sz w:val="24"/>
          <w:szCs w:val="24"/>
          <w:highlight w:val="none"/>
        </w:rPr>
      </w:pPr>
    </w:p>
    <w:p w14:paraId="6AC000EB">
      <w:pPr>
        <w:adjustRightInd w:val="0"/>
        <w:snapToGrid w:val="0"/>
        <w:spacing w:line="300" w:lineRule="auto"/>
        <w:rPr>
          <w:rFonts w:asciiTheme="minorEastAsia" w:hAnsiTheme="minorEastAsia"/>
          <w:color w:val="auto"/>
          <w:sz w:val="24"/>
          <w:szCs w:val="24"/>
          <w:highlight w:val="none"/>
        </w:rPr>
      </w:pPr>
    </w:p>
    <w:p w14:paraId="49289358">
      <w:pPr>
        <w:adjustRightInd w:val="0"/>
        <w:snapToGrid w:val="0"/>
        <w:spacing w:line="300" w:lineRule="auto"/>
        <w:rPr>
          <w:rFonts w:hint="eastAsia" w:asciiTheme="minorEastAsia" w:hAnsiTheme="minorEastAsia"/>
          <w:color w:val="auto"/>
          <w:sz w:val="24"/>
          <w:szCs w:val="24"/>
          <w:highlight w:val="none"/>
        </w:rPr>
      </w:pPr>
      <w:r>
        <w:rPr>
          <w:rFonts w:hint="eastAsia" w:asciiTheme="minorEastAsia" w:hAnsiTheme="minorEastAsia"/>
          <w:color w:val="auto"/>
          <w:sz w:val="24"/>
          <w:szCs w:val="24"/>
          <w:highlight w:val="none"/>
        </w:rPr>
        <w:t>代表：</w:t>
      </w:r>
    </w:p>
    <w:p w14:paraId="43CF6858">
      <w:pPr>
        <w:adjustRightInd w:val="0"/>
        <w:snapToGrid w:val="0"/>
        <w:spacing w:line="300" w:lineRule="auto"/>
        <w:rPr>
          <w:rFonts w:hint="eastAsia" w:asciiTheme="minorEastAsia" w:hAnsiTheme="minorEastAsia"/>
          <w:color w:val="auto"/>
          <w:sz w:val="24"/>
          <w:szCs w:val="24"/>
          <w:highlight w:val="none"/>
        </w:rPr>
      </w:pPr>
    </w:p>
    <w:p w14:paraId="61255A0C">
      <w:pPr>
        <w:adjustRightInd w:val="0"/>
        <w:snapToGrid w:val="0"/>
        <w:spacing w:line="300" w:lineRule="auto"/>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202</w:t>
      </w:r>
      <w:r>
        <w:rPr>
          <w:rFonts w:hint="eastAsia" w:asciiTheme="minorEastAsia" w:hAnsiTheme="minorEastAsia"/>
          <w:color w:val="auto"/>
          <w:sz w:val="24"/>
          <w:szCs w:val="24"/>
          <w:highlight w:val="none"/>
          <w:lang w:val="en-US" w:eastAsia="zh-CN"/>
        </w:rPr>
        <w:t>6</w:t>
      </w:r>
      <w:r>
        <w:rPr>
          <w:rFonts w:hint="eastAsia" w:asciiTheme="minorEastAsia" w:hAnsiTheme="minorEastAsia"/>
          <w:color w:val="auto"/>
          <w:sz w:val="24"/>
          <w:szCs w:val="24"/>
          <w:highlight w:val="none"/>
        </w:rPr>
        <w:t>年 月  日</w:t>
      </w:r>
    </w:p>
    <w:p w14:paraId="40EAB09C">
      <w:pPr>
        <w:snapToGrid w:val="0"/>
        <w:spacing w:line="300" w:lineRule="auto"/>
        <w:rPr>
          <w:color w:val="auto"/>
          <w:sz w:val="24"/>
          <w:szCs w:val="24"/>
          <w:highlight w:val="none"/>
        </w:rPr>
      </w:pPr>
    </w:p>
    <w:p w14:paraId="7D9C831B">
      <w:pPr>
        <w:snapToGrid w:val="0"/>
        <w:spacing w:line="300" w:lineRule="auto"/>
        <w:rPr>
          <w:color w:val="auto"/>
          <w:sz w:val="24"/>
          <w:szCs w:val="24"/>
          <w:highlight w:val="none"/>
        </w:rPr>
      </w:pPr>
    </w:p>
    <w:p w14:paraId="4304BBFC">
      <w:pPr>
        <w:adjustRightInd w:val="0"/>
        <w:snapToGrid w:val="0"/>
        <w:spacing w:line="300" w:lineRule="auto"/>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乙方：中国电子技术标准化研究院</w:t>
      </w:r>
    </w:p>
    <w:p w14:paraId="28BBEAFD">
      <w:pPr>
        <w:adjustRightInd w:val="0"/>
        <w:snapToGrid w:val="0"/>
        <w:spacing w:line="300" w:lineRule="auto"/>
        <w:rPr>
          <w:rFonts w:asciiTheme="minorEastAsia" w:hAnsiTheme="minorEastAsia"/>
          <w:color w:val="auto"/>
          <w:sz w:val="24"/>
          <w:szCs w:val="24"/>
          <w:highlight w:val="none"/>
        </w:rPr>
      </w:pPr>
    </w:p>
    <w:p w14:paraId="3FD6FA89">
      <w:pPr>
        <w:adjustRightInd w:val="0"/>
        <w:snapToGrid w:val="0"/>
        <w:spacing w:line="300" w:lineRule="auto"/>
        <w:rPr>
          <w:rFonts w:asciiTheme="minorEastAsia" w:hAnsiTheme="minorEastAsia"/>
          <w:color w:val="auto"/>
          <w:sz w:val="24"/>
          <w:szCs w:val="24"/>
          <w:highlight w:val="none"/>
        </w:rPr>
      </w:pPr>
    </w:p>
    <w:p w14:paraId="15B13412">
      <w:pPr>
        <w:adjustRightInd w:val="0"/>
        <w:snapToGrid w:val="0"/>
        <w:spacing w:line="300" w:lineRule="auto"/>
        <w:rPr>
          <w:rFonts w:hint="eastAsia" w:asciiTheme="minorEastAsia" w:hAnsiTheme="minorEastAsia"/>
          <w:color w:val="auto"/>
          <w:sz w:val="24"/>
          <w:szCs w:val="24"/>
          <w:highlight w:val="none"/>
        </w:rPr>
      </w:pPr>
      <w:r>
        <w:rPr>
          <w:rFonts w:hint="eastAsia" w:asciiTheme="minorEastAsia" w:hAnsiTheme="minorEastAsia"/>
          <w:color w:val="auto"/>
          <w:sz w:val="24"/>
          <w:szCs w:val="24"/>
          <w:highlight w:val="none"/>
        </w:rPr>
        <w:t>代表：</w:t>
      </w:r>
    </w:p>
    <w:p w14:paraId="2DF97C9D">
      <w:pPr>
        <w:adjustRightInd w:val="0"/>
        <w:snapToGrid w:val="0"/>
        <w:spacing w:line="300" w:lineRule="auto"/>
        <w:rPr>
          <w:rFonts w:hint="eastAsia" w:asciiTheme="minorEastAsia" w:hAnsiTheme="minorEastAsia"/>
          <w:color w:val="auto"/>
          <w:sz w:val="24"/>
          <w:szCs w:val="24"/>
          <w:highlight w:val="none"/>
        </w:rPr>
      </w:pPr>
    </w:p>
    <w:p w14:paraId="3DE121ED">
      <w:pPr>
        <w:adjustRightInd w:val="0"/>
        <w:snapToGrid w:val="0"/>
        <w:spacing w:line="300" w:lineRule="auto"/>
        <w:rPr>
          <w:rFonts w:hint="eastAsia" w:asciiTheme="minorEastAsia" w:hAnsiTheme="minorEastAsia"/>
          <w:color w:val="auto"/>
          <w:sz w:val="24"/>
          <w:szCs w:val="24"/>
          <w:highlight w:val="none"/>
        </w:rPr>
      </w:pPr>
      <w:r>
        <w:rPr>
          <w:rFonts w:hint="eastAsia" w:asciiTheme="minorEastAsia" w:hAnsiTheme="minorEastAsia"/>
          <w:color w:val="auto"/>
          <w:sz w:val="24"/>
          <w:szCs w:val="24"/>
          <w:highlight w:val="none"/>
        </w:rPr>
        <w:t>202</w:t>
      </w:r>
      <w:r>
        <w:rPr>
          <w:rFonts w:hint="eastAsia" w:asciiTheme="minorEastAsia" w:hAnsiTheme="minorEastAsia"/>
          <w:color w:val="auto"/>
          <w:sz w:val="24"/>
          <w:szCs w:val="24"/>
          <w:highlight w:val="none"/>
          <w:lang w:val="en-US" w:eastAsia="zh-CN"/>
        </w:rPr>
        <w:t>6</w:t>
      </w:r>
      <w:r>
        <w:rPr>
          <w:rFonts w:hint="eastAsia" w:asciiTheme="minorEastAsia" w:hAnsiTheme="minorEastAsia"/>
          <w:color w:val="auto"/>
          <w:sz w:val="24"/>
          <w:szCs w:val="24"/>
          <w:highlight w:val="none"/>
        </w:rPr>
        <w:t>年  月  日</w:t>
      </w:r>
    </w:p>
    <w:p w14:paraId="74022A39">
      <w:pPr>
        <w:adjustRightInd w:val="0"/>
        <w:snapToGrid w:val="0"/>
        <w:spacing w:line="300" w:lineRule="auto"/>
        <w:rPr>
          <w:rFonts w:hint="eastAsia" w:asciiTheme="minorEastAsia" w:hAnsiTheme="minorEastAsia"/>
          <w:color w:val="auto"/>
          <w:sz w:val="24"/>
          <w:szCs w:val="24"/>
          <w:highlight w:val="none"/>
        </w:rPr>
      </w:pPr>
    </w:p>
    <w:p w14:paraId="3D5DF72D">
      <w:pPr>
        <w:rPr>
          <w:rFonts w:hint="eastAsia" w:asciiTheme="minorEastAsia" w:hAnsiTheme="minorEastAsia"/>
          <w:color w:val="auto"/>
          <w:sz w:val="24"/>
          <w:szCs w:val="24"/>
          <w:highlight w:val="none"/>
          <w:lang w:val="en-US" w:eastAsia="zh-CN"/>
        </w:rPr>
      </w:pPr>
      <w:r>
        <w:rPr>
          <w:rFonts w:hint="eastAsia" w:asciiTheme="minorEastAsia" w:hAnsiTheme="minorEastAsia"/>
          <w:color w:val="auto"/>
          <w:sz w:val="24"/>
          <w:szCs w:val="24"/>
          <w:highlight w:val="none"/>
          <w:lang w:val="en-US" w:eastAsia="zh-CN"/>
        </w:rPr>
        <w:br w:type="page"/>
      </w:r>
    </w:p>
    <w:p w14:paraId="30935BF6">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hint="eastAsia" w:cs="Times New Roman" w:asciiTheme="minorEastAsia" w:hAnsiTheme="minorEastAsia"/>
          <w:b/>
          <w:snapToGrid w:val="0"/>
          <w:color w:val="auto"/>
          <w:kern w:val="0"/>
          <w:sz w:val="24"/>
          <w:szCs w:val="24"/>
          <w:highlight w:val="none"/>
          <w:lang w:val="en-US" w:eastAsia="zh-CN"/>
        </w:rPr>
      </w:pPr>
      <w:r>
        <w:rPr>
          <w:rFonts w:hint="eastAsia" w:cs="Times New Roman" w:asciiTheme="minorEastAsia" w:hAnsiTheme="minorEastAsia"/>
          <w:b/>
          <w:snapToGrid w:val="0"/>
          <w:color w:val="auto"/>
          <w:kern w:val="0"/>
          <w:sz w:val="24"/>
          <w:szCs w:val="24"/>
          <w:highlight w:val="none"/>
          <w:lang w:val="en-US" w:eastAsia="zh-CN"/>
        </w:rPr>
        <w:t>附件</w:t>
      </w:r>
    </w:p>
    <w:p w14:paraId="39368E0E">
      <w:pPr>
        <w:adjustRightInd w:val="0"/>
        <w:snapToGrid w:val="0"/>
        <w:spacing w:line="300" w:lineRule="auto"/>
        <w:rPr>
          <w:rFonts w:hint="eastAsia" w:asciiTheme="minorEastAsia" w:hAnsiTheme="minorEastAsia"/>
          <w:color w:val="auto"/>
          <w:sz w:val="24"/>
          <w:szCs w:val="24"/>
          <w:highlight w:val="none"/>
          <w:lang w:val="en-US" w:eastAsia="zh-CN"/>
        </w:rPr>
      </w:pPr>
    </w:p>
    <w:p w14:paraId="4C6D23C7">
      <w:pPr>
        <w:adjustRightInd w:val="0"/>
        <w:snapToGrid w:val="0"/>
        <w:spacing w:line="300" w:lineRule="auto"/>
        <w:ind w:firstLine="420" w:firstLineChars="0"/>
        <w:rPr>
          <w:rFonts w:hint="default" w:asciiTheme="minorEastAsia" w:hAnsiTheme="minorEastAsia"/>
          <w:color w:val="auto"/>
          <w:sz w:val="24"/>
          <w:szCs w:val="24"/>
          <w:highlight w:val="none"/>
          <w:lang w:val="en-US" w:eastAsia="zh-CN"/>
        </w:rPr>
      </w:pPr>
      <w:r>
        <w:rPr>
          <w:rFonts w:hint="eastAsia" w:asciiTheme="minorEastAsia" w:hAnsiTheme="minorEastAsia"/>
          <w:color w:val="auto"/>
          <w:sz w:val="24"/>
          <w:szCs w:val="24"/>
          <w:highlight w:val="none"/>
          <w:lang w:val="en-US" w:eastAsia="zh-CN"/>
        </w:rPr>
        <w:t>检测内容“机密计算与可信执行环境关键技术和应用研究项目”关联的考核指标表如下所示：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8"/>
        <w:gridCol w:w="1088"/>
        <w:gridCol w:w="1710"/>
        <w:gridCol w:w="3124"/>
        <w:gridCol w:w="2200"/>
      </w:tblGrid>
      <w:tr w14:paraId="28482176">
        <w:trPr>
          <w:cantSplit/>
        </w:trPr>
        <w:tc>
          <w:tcPr>
            <w:tcW w:w="398" w:type="dxa"/>
            <w:vAlign w:val="center"/>
          </w:tcPr>
          <w:p w14:paraId="074511A9">
            <w:pPr>
              <w:ind w:firstLine="0" w:firstLineChars="0"/>
              <w:rPr>
                <w:rFonts w:hint="eastAsia"/>
                <w:b/>
                <w:bCs/>
                <w:color w:val="auto"/>
                <w:highlight w:val="none"/>
              </w:rPr>
            </w:pPr>
            <w:r>
              <w:rPr>
                <w:rFonts w:hint="eastAsia"/>
                <w:b/>
                <w:bCs/>
                <w:color w:val="auto"/>
                <w:highlight w:val="none"/>
              </w:rPr>
              <w:t>序号</w:t>
            </w:r>
          </w:p>
        </w:tc>
        <w:tc>
          <w:tcPr>
            <w:tcW w:w="1088" w:type="dxa"/>
            <w:vAlign w:val="center"/>
          </w:tcPr>
          <w:p w14:paraId="43868D99">
            <w:pPr>
              <w:ind w:firstLine="0" w:firstLineChars="0"/>
              <w:rPr>
                <w:rFonts w:hint="default"/>
                <w:b/>
                <w:bCs/>
                <w:color w:val="auto"/>
                <w:highlight w:val="none"/>
                <w:lang w:val="en-US" w:eastAsia="zh-CN"/>
              </w:rPr>
            </w:pPr>
            <w:r>
              <w:rPr>
                <w:rFonts w:hint="eastAsia"/>
                <w:b/>
                <w:bCs/>
                <w:color w:val="auto"/>
                <w:highlight w:val="none"/>
                <w:lang w:val="en-US" w:eastAsia="zh-CN"/>
              </w:rPr>
              <w:t>系统名称</w:t>
            </w:r>
          </w:p>
        </w:tc>
        <w:tc>
          <w:tcPr>
            <w:tcW w:w="1710" w:type="dxa"/>
            <w:vAlign w:val="center"/>
          </w:tcPr>
          <w:p w14:paraId="6AB3E632">
            <w:pPr>
              <w:ind w:firstLine="0" w:firstLineChars="0"/>
              <w:rPr>
                <w:rFonts w:hint="eastAsia"/>
                <w:b/>
                <w:bCs/>
                <w:color w:val="auto"/>
                <w:highlight w:val="none"/>
              </w:rPr>
            </w:pPr>
            <w:r>
              <w:rPr>
                <w:rFonts w:hint="eastAsia"/>
                <w:b/>
                <w:bCs/>
                <w:color w:val="auto"/>
                <w:highlight w:val="none"/>
                <w:lang w:val="en-US" w:eastAsia="zh-CN"/>
              </w:rPr>
              <w:t>指标</w:t>
            </w:r>
            <w:r>
              <w:rPr>
                <w:rFonts w:hint="eastAsia"/>
                <w:b/>
                <w:bCs/>
                <w:color w:val="auto"/>
                <w:highlight w:val="none"/>
              </w:rPr>
              <w:t>名称</w:t>
            </w:r>
          </w:p>
        </w:tc>
        <w:tc>
          <w:tcPr>
            <w:tcW w:w="3124" w:type="dxa"/>
            <w:vAlign w:val="center"/>
          </w:tcPr>
          <w:p w14:paraId="1E3941AF">
            <w:pPr>
              <w:ind w:firstLine="0" w:firstLineChars="0"/>
              <w:rPr>
                <w:rFonts w:hint="eastAsia" w:eastAsiaTheme="minorEastAsia"/>
                <w:b/>
                <w:bCs/>
                <w:color w:val="auto"/>
                <w:highlight w:val="none"/>
                <w:lang w:eastAsia="zh-CN"/>
              </w:rPr>
            </w:pPr>
            <w:r>
              <w:rPr>
                <w:rFonts w:hint="eastAsia"/>
                <w:b/>
                <w:bCs/>
                <w:color w:val="auto"/>
                <w:highlight w:val="none"/>
              </w:rPr>
              <w:t>任务书</w:t>
            </w:r>
            <w:r>
              <w:rPr>
                <w:rFonts w:hint="eastAsia"/>
                <w:b/>
                <w:bCs/>
                <w:color w:val="auto"/>
                <w:highlight w:val="none"/>
                <w:lang w:val="en-US" w:eastAsia="zh-CN"/>
              </w:rPr>
              <w:t>结题</w:t>
            </w:r>
            <w:r>
              <w:rPr>
                <w:rFonts w:hint="eastAsia"/>
                <w:b/>
                <w:bCs/>
                <w:color w:val="auto"/>
                <w:highlight w:val="none"/>
              </w:rPr>
              <w:t>考核指标</w:t>
            </w:r>
            <w:r>
              <w:rPr>
                <w:rFonts w:hint="eastAsia"/>
                <w:b/>
                <w:bCs/>
                <w:color w:val="auto"/>
                <w:highlight w:val="none"/>
                <w:lang w:eastAsia="zh-CN"/>
              </w:rPr>
              <w:t>（</w:t>
            </w:r>
            <w:r>
              <w:rPr>
                <w:rFonts w:hint="eastAsia"/>
                <w:b/>
                <w:bCs/>
                <w:color w:val="auto"/>
                <w:highlight w:val="none"/>
                <w:lang w:val="en-US" w:eastAsia="zh-CN"/>
              </w:rPr>
              <w:t>完成时指标值</w:t>
            </w:r>
            <w:r>
              <w:rPr>
                <w:rFonts w:hint="eastAsia"/>
                <w:b/>
                <w:bCs/>
                <w:color w:val="auto"/>
                <w:highlight w:val="none"/>
                <w:lang w:eastAsia="zh-CN"/>
              </w:rPr>
              <w:t>）</w:t>
            </w:r>
          </w:p>
        </w:tc>
        <w:tc>
          <w:tcPr>
            <w:tcW w:w="2200" w:type="dxa"/>
            <w:vAlign w:val="center"/>
          </w:tcPr>
          <w:p w14:paraId="7133C6C7">
            <w:pPr>
              <w:ind w:firstLine="0" w:firstLineChars="0"/>
              <w:rPr>
                <w:rFonts w:hint="default" w:eastAsiaTheme="minorEastAsia"/>
                <w:b/>
                <w:bCs/>
                <w:color w:val="auto"/>
                <w:highlight w:val="none"/>
                <w:lang w:val="en-US" w:eastAsia="zh-CN"/>
              </w:rPr>
            </w:pPr>
            <w:r>
              <w:rPr>
                <w:rFonts w:hint="eastAsia"/>
                <w:b/>
                <w:bCs/>
                <w:color w:val="auto"/>
                <w:highlight w:val="none"/>
                <w:lang w:val="en-US" w:eastAsia="zh-CN"/>
              </w:rPr>
              <w:t>考核方式（方法）及评价手段</w:t>
            </w:r>
          </w:p>
        </w:tc>
      </w:tr>
      <w:tr w14:paraId="7B989B64">
        <w:trPr>
          <w:cantSplit/>
        </w:trPr>
        <w:tc>
          <w:tcPr>
            <w:tcW w:w="398" w:type="dxa"/>
            <w:vAlign w:val="center"/>
          </w:tcPr>
          <w:p w14:paraId="2E15B632">
            <w:pPr>
              <w:numPr>
                <w:ilvl w:val="0"/>
                <w:numId w:val="1"/>
              </w:numPr>
              <w:ind w:left="425" w:leftChars="0" w:hanging="425" w:firstLineChars="0"/>
              <w:rPr>
                <w:rFonts w:hint="default"/>
                <w:color w:val="auto"/>
                <w:highlight w:val="none"/>
                <w:lang w:val="en-US" w:eastAsia="zh-CN"/>
              </w:rPr>
            </w:pPr>
          </w:p>
        </w:tc>
        <w:tc>
          <w:tcPr>
            <w:tcW w:w="1088" w:type="dxa"/>
            <w:vAlign w:val="center"/>
          </w:tcPr>
          <w:p w14:paraId="7BFDE3A2">
            <w:pPr>
              <w:ind w:firstLine="0" w:firstLineChars="0"/>
              <w:rPr>
                <w:rFonts w:hint="eastAsia"/>
                <w:color w:val="auto"/>
                <w:highlight w:val="yellow"/>
                <w:lang w:val="en-US" w:eastAsia="zh-CN"/>
              </w:rPr>
            </w:pPr>
            <w:r>
              <w:rPr>
                <w:rFonts w:hint="eastAsia"/>
              </w:rPr>
              <w:t>可信执行环境和同态加密混合国产异构系统</w:t>
            </w:r>
          </w:p>
        </w:tc>
        <w:tc>
          <w:tcPr>
            <w:tcW w:w="1710" w:type="dxa"/>
            <w:vAlign w:val="center"/>
          </w:tcPr>
          <w:p w14:paraId="29846F91">
            <w:pPr>
              <w:ind w:firstLine="0" w:firstLineChars="0"/>
              <w:jc w:val="both"/>
              <w:rPr>
                <w:rFonts w:hint="default"/>
                <w:color w:val="auto"/>
                <w:highlight w:val="none"/>
                <w:lang w:val="en-US" w:eastAsia="zh-CN"/>
              </w:rPr>
            </w:pPr>
            <w:r>
              <w:rPr>
                <w:rFonts w:hint="eastAsia"/>
                <w:color w:val="auto"/>
                <w:highlight w:val="none"/>
                <w:lang w:val="en-US" w:eastAsia="zh-CN"/>
              </w:rPr>
              <w:t>指标2.6：基于可信执行环境的同态加密计算加速系统</w:t>
            </w:r>
          </w:p>
        </w:tc>
        <w:tc>
          <w:tcPr>
            <w:tcW w:w="3124" w:type="dxa"/>
            <w:vAlign w:val="center"/>
          </w:tcPr>
          <w:p w14:paraId="70C53AC9">
            <w:pPr>
              <w:ind w:firstLine="0" w:firstLineChars="0"/>
              <w:jc w:val="both"/>
              <w:rPr>
                <w:rFonts w:hint="eastAsia"/>
                <w:color w:val="auto"/>
                <w:highlight w:val="none"/>
              </w:rPr>
            </w:pPr>
            <w:r>
              <w:rPr>
                <w:rFonts w:hint="eastAsia"/>
                <w:color w:val="auto"/>
                <w:highlight w:val="none"/>
              </w:rPr>
              <w:t>基于可信执行环境的同态加密计算加速子系统，提升同态加密方法的自适应性，减少同态加密计算时间及内存消耗，对比于不采用可信执行环境的同态加密计算，整体加速系统性能提升 3 个数量级，其中TEE 由海光第三代 CPU服务器支持；</w:t>
            </w:r>
          </w:p>
          <w:p w14:paraId="422C857C">
            <w:pPr>
              <w:ind w:firstLine="0" w:firstLineChars="0"/>
              <w:jc w:val="both"/>
              <w:rPr>
                <w:rFonts w:hint="eastAsia"/>
                <w:color w:val="auto"/>
                <w:highlight w:val="none"/>
              </w:rPr>
            </w:pPr>
            <w:r>
              <w:rPr>
                <w:rFonts w:hint="eastAsia"/>
                <w:color w:val="auto"/>
                <w:highlight w:val="none"/>
              </w:rPr>
              <w:t>基于 TEE 的同态加密加速技术研究报告 1 份</w:t>
            </w:r>
          </w:p>
        </w:tc>
        <w:tc>
          <w:tcPr>
            <w:tcW w:w="2200" w:type="dxa"/>
            <w:vAlign w:val="center"/>
          </w:tcPr>
          <w:p w14:paraId="0F4E465A">
            <w:pPr>
              <w:numPr>
                <w:ilvl w:val="0"/>
                <w:numId w:val="0"/>
              </w:numPr>
              <w:ind w:left="12" w:leftChars="0"/>
              <w:jc w:val="both"/>
              <w:rPr>
                <w:rFonts w:hint="eastAsia"/>
                <w:b w:val="0"/>
                <w:bCs w:val="0"/>
                <w:color w:val="auto"/>
                <w:highlight w:val="none"/>
              </w:rPr>
            </w:pPr>
            <w:r>
              <w:rPr>
                <w:rFonts w:hint="eastAsia"/>
                <w:b w:val="0"/>
                <w:bCs w:val="0"/>
                <w:color w:val="auto"/>
                <w:highlight w:val="none"/>
              </w:rPr>
              <w:t>第三方测试报告（测试方须具有CNAS或CMA等测试资质）</w:t>
            </w:r>
          </w:p>
        </w:tc>
      </w:tr>
    </w:tbl>
    <w:p w14:paraId="4182756F">
      <w:pPr>
        <w:adjustRightInd w:val="0"/>
        <w:snapToGrid w:val="0"/>
        <w:spacing w:line="300" w:lineRule="auto"/>
        <w:rPr>
          <w:rFonts w:hint="eastAsia" w:asciiTheme="minorEastAsia" w:hAnsiTheme="minorEastAsia"/>
          <w:color w:val="auto"/>
          <w:sz w:val="24"/>
          <w:szCs w:val="24"/>
          <w:highlight w:val="none"/>
          <w:lang w:val="en-US" w:eastAsia="zh-CN"/>
        </w:rPr>
      </w:pPr>
    </w:p>
    <w:p w14:paraId="050546AF">
      <w:pPr>
        <w:adjustRightInd w:val="0"/>
        <w:snapToGrid w:val="0"/>
        <w:spacing w:line="300" w:lineRule="auto"/>
        <w:rPr>
          <w:rFonts w:hint="eastAsia" w:asciiTheme="minorEastAsia" w:hAnsiTheme="minorEastAsia"/>
          <w:color w:val="auto"/>
          <w:sz w:val="24"/>
          <w:szCs w:val="24"/>
          <w:highlight w:val="none"/>
          <w:lang w:val="en-US" w:eastAsia="zh-CN"/>
        </w:rPr>
      </w:pPr>
      <w:r>
        <w:rPr>
          <w:rFonts w:hint="eastAsia" w:asciiTheme="minorEastAsia" w:hAnsiTheme="minorEastAsia"/>
          <w:color w:val="auto"/>
          <w:sz w:val="24"/>
          <w:szCs w:val="24"/>
          <w:highlight w:val="none"/>
          <w:lang w:val="en-US" w:eastAsia="zh-CN"/>
        </w:rPr>
        <w:t>关联的任务书研究内容：</w:t>
      </w:r>
    </w:p>
    <w:p w14:paraId="3568CF3A">
      <w:pPr>
        <w:adjustRightInd w:val="0"/>
        <w:snapToGrid w:val="0"/>
        <w:spacing w:line="300" w:lineRule="auto"/>
        <w:ind w:firstLine="420" w:firstLineChars="0"/>
        <w:rPr>
          <w:rFonts w:hint="eastAsia" w:asciiTheme="minorEastAsia" w:hAnsiTheme="minorEastAsia"/>
          <w:color w:val="auto"/>
          <w:sz w:val="24"/>
          <w:szCs w:val="24"/>
          <w:highlight w:val="none"/>
          <w:lang w:val="en-US" w:eastAsia="zh-CN"/>
        </w:rPr>
      </w:pPr>
      <w:r>
        <w:rPr>
          <w:rFonts w:hint="default" w:asciiTheme="minorEastAsia" w:hAnsiTheme="minorEastAsia"/>
          <w:color w:val="auto"/>
          <w:sz w:val="24"/>
          <w:szCs w:val="24"/>
          <w:highlight w:val="none"/>
          <w:lang w:val="en-US" w:eastAsia="zh-CN"/>
        </w:rPr>
        <w:t>机密计算与可信执行环境关键技术和应用研究项目</w:t>
      </w:r>
      <w:r>
        <w:rPr>
          <w:rFonts w:hint="eastAsia" w:asciiTheme="minorEastAsia" w:hAnsiTheme="minorEastAsia"/>
          <w:color w:val="auto"/>
          <w:sz w:val="24"/>
          <w:szCs w:val="24"/>
          <w:highlight w:val="none"/>
          <w:lang w:val="en-US" w:eastAsia="zh-CN"/>
        </w:rPr>
        <w:t>所研发的系统包括：</w:t>
      </w:r>
      <w:r>
        <w:rPr>
          <w:rFonts w:hint="eastAsia" w:asciiTheme="minorEastAsia" w:hAnsiTheme="minorEastAsia"/>
          <w:b/>
          <w:bCs/>
          <w:color w:val="auto"/>
          <w:sz w:val="24"/>
          <w:szCs w:val="24"/>
          <w:highlight w:val="none"/>
          <w:lang w:val="en-US" w:eastAsia="zh-CN"/>
        </w:rPr>
        <w:t>可信执行环境与软硬件协同防护系统</w:t>
      </w:r>
      <w:r>
        <w:rPr>
          <w:rFonts w:hint="eastAsia" w:asciiTheme="minorEastAsia" w:hAnsiTheme="minorEastAsia"/>
          <w:color w:val="auto"/>
          <w:sz w:val="24"/>
          <w:szCs w:val="24"/>
          <w:highlight w:val="none"/>
          <w:lang w:val="en-US" w:eastAsia="zh-CN"/>
        </w:rPr>
        <w:t>、</w:t>
      </w:r>
      <w:r>
        <w:rPr>
          <w:rFonts w:hint="eastAsia" w:asciiTheme="minorEastAsia" w:hAnsiTheme="minorEastAsia"/>
          <w:b/>
          <w:bCs/>
          <w:color w:val="auto"/>
          <w:sz w:val="24"/>
          <w:szCs w:val="24"/>
          <w:highlight w:val="none"/>
          <w:lang w:val="en-US" w:eastAsia="zh-CN"/>
        </w:rPr>
        <w:t>可信执行环境和同态加密混合国产异构系统</w:t>
      </w:r>
      <w:r>
        <w:rPr>
          <w:rFonts w:hint="eastAsia" w:asciiTheme="minorEastAsia" w:hAnsiTheme="minorEastAsia"/>
          <w:color w:val="auto"/>
          <w:sz w:val="24"/>
          <w:szCs w:val="24"/>
          <w:highlight w:val="none"/>
          <w:lang w:val="en-US" w:eastAsia="zh-CN"/>
        </w:rPr>
        <w:t>、</w:t>
      </w:r>
      <w:r>
        <w:rPr>
          <w:rFonts w:hint="eastAsia" w:asciiTheme="minorEastAsia" w:hAnsiTheme="minorEastAsia"/>
          <w:b/>
          <w:bCs/>
          <w:color w:val="auto"/>
          <w:sz w:val="24"/>
          <w:szCs w:val="24"/>
          <w:highlight w:val="none"/>
          <w:lang w:val="en-US" w:eastAsia="zh-CN"/>
        </w:rPr>
        <w:t>基于可信执行环境的实用型可搜索加密系统</w:t>
      </w:r>
      <w:r>
        <w:rPr>
          <w:rFonts w:hint="eastAsia" w:asciiTheme="minorEastAsia" w:hAnsiTheme="minorEastAsia"/>
          <w:b w:val="0"/>
          <w:bCs w:val="0"/>
          <w:color w:val="auto"/>
          <w:sz w:val="24"/>
          <w:szCs w:val="24"/>
          <w:highlight w:val="none"/>
          <w:lang w:val="en-US" w:eastAsia="zh-CN"/>
        </w:rPr>
        <w:t>以及</w:t>
      </w:r>
      <w:r>
        <w:rPr>
          <w:rFonts w:hint="eastAsia" w:asciiTheme="minorEastAsia" w:hAnsiTheme="minorEastAsia"/>
          <w:b/>
          <w:bCs/>
          <w:color w:val="auto"/>
          <w:sz w:val="24"/>
          <w:szCs w:val="24"/>
          <w:highlight w:val="none"/>
          <w:lang w:val="en-US" w:eastAsia="zh-CN"/>
        </w:rPr>
        <w:t>异构多层次技术融合机密计算应用系统</w:t>
      </w:r>
      <w:r>
        <w:rPr>
          <w:rFonts w:hint="eastAsia" w:asciiTheme="minorEastAsia" w:hAnsiTheme="minorEastAsia"/>
          <w:color w:val="auto"/>
          <w:sz w:val="24"/>
          <w:szCs w:val="24"/>
          <w:highlight w:val="none"/>
          <w:lang w:val="en-US" w:eastAsia="zh-CN"/>
        </w:rPr>
        <w:t>。</w:t>
      </w:r>
    </w:p>
    <w:p w14:paraId="6CB31CED">
      <w:pPr>
        <w:adjustRightInd w:val="0"/>
        <w:snapToGrid w:val="0"/>
        <w:spacing w:line="300" w:lineRule="auto"/>
        <w:ind w:firstLine="420" w:firstLineChars="0"/>
        <w:rPr>
          <w:rFonts w:hint="default" w:asciiTheme="minorEastAsia" w:hAnsiTheme="minorEastAsia"/>
          <w:b/>
          <w:bCs/>
          <w:color w:val="auto"/>
          <w:sz w:val="24"/>
          <w:szCs w:val="24"/>
          <w:highlight w:val="none"/>
          <w:lang w:val="en-US" w:eastAsia="zh-CN"/>
        </w:rPr>
      </w:pPr>
      <w:r>
        <w:rPr>
          <w:rFonts w:hint="eastAsia" w:asciiTheme="minorEastAsia" w:hAnsiTheme="minorEastAsia"/>
          <w:b/>
          <w:bCs/>
          <w:color w:val="auto"/>
          <w:sz w:val="24"/>
          <w:szCs w:val="24"/>
          <w:highlight w:val="none"/>
          <w:lang w:val="en-US" w:eastAsia="zh-CN"/>
        </w:rPr>
        <w:t>（1）</w:t>
      </w:r>
      <w:r>
        <w:rPr>
          <w:rFonts w:hint="eastAsia" w:asciiTheme="minorEastAsia" w:hAnsiTheme="minorEastAsia"/>
          <w:b/>
          <w:bCs/>
          <w:sz w:val="24"/>
          <w:szCs w:val="24"/>
        </w:rPr>
        <w:t>可信执行环境和同态加密混合国产异构系统</w:t>
      </w:r>
    </w:p>
    <w:p w14:paraId="4D63A4AA">
      <w:pPr>
        <w:adjustRightInd w:val="0"/>
        <w:snapToGrid w:val="0"/>
        <w:spacing w:line="300" w:lineRule="auto"/>
        <w:ind w:firstLine="420" w:firstLineChars="0"/>
        <w:rPr>
          <w:rFonts w:hint="default" w:asciiTheme="minorEastAsia" w:hAnsiTheme="minorEastAsia"/>
          <w:b w:val="0"/>
          <w:bCs w:val="0"/>
          <w:color w:val="auto"/>
          <w:sz w:val="24"/>
          <w:szCs w:val="24"/>
          <w:highlight w:val="none"/>
          <w:lang w:val="en-US" w:eastAsia="zh-CN"/>
        </w:rPr>
      </w:pPr>
      <w:r>
        <w:rPr>
          <w:rFonts w:hint="eastAsia" w:asciiTheme="minorEastAsia" w:hAnsiTheme="minorEastAsia"/>
          <w:sz w:val="24"/>
          <w:szCs w:val="24"/>
        </w:rPr>
        <w:t>可信执行环境与软硬件协同防护系统的研制包含了</w:t>
      </w:r>
      <w:r>
        <w:rPr>
          <w:rFonts w:hint="eastAsia" w:asciiTheme="minorEastAsia" w:hAnsiTheme="minorEastAsia"/>
          <w:b/>
          <w:bCs/>
          <w:sz w:val="24"/>
          <w:szCs w:val="24"/>
        </w:rPr>
        <w:t>基于异构计算的同态加密计算加速子系统</w:t>
      </w:r>
      <w:r>
        <w:rPr>
          <w:rFonts w:hint="eastAsia" w:asciiTheme="minorEastAsia" w:hAnsiTheme="minorEastAsia"/>
          <w:sz w:val="24"/>
          <w:szCs w:val="24"/>
        </w:rPr>
        <w:t>和</w:t>
      </w:r>
      <w:r>
        <w:rPr>
          <w:rFonts w:hint="eastAsia" w:asciiTheme="minorEastAsia" w:hAnsiTheme="minorEastAsia"/>
          <w:b/>
          <w:bCs/>
          <w:sz w:val="24"/>
          <w:szCs w:val="24"/>
        </w:rPr>
        <w:t>基于可信执行环境的同态加密计算加速系统</w:t>
      </w:r>
      <w:r>
        <w:rPr>
          <w:rFonts w:hint="eastAsia" w:asciiTheme="minorEastAsia" w:hAnsiTheme="minorEastAsia"/>
          <w:sz w:val="24"/>
          <w:szCs w:val="24"/>
        </w:rPr>
        <w:t>。</w:t>
      </w:r>
    </w:p>
    <w:p w14:paraId="6157B9D8">
      <w:pPr>
        <w:numPr>
          <w:ilvl w:val="0"/>
          <w:numId w:val="2"/>
        </w:numPr>
        <w:adjustRightInd w:val="0"/>
        <w:snapToGrid w:val="0"/>
        <w:spacing w:line="300" w:lineRule="auto"/>
        <w:ind w:firstLine="420" w:firstLineChars="0"/>
        <w:rPr>
          <w:rFonts w:hint="default" w:asciiTheme="minorEastAsia" w:hAnsiTheme="minorEastAsia"/>
          <w:color w:val="auto"/>
          <w:sz w:val="24"/>
          <w:szCs w:val="24"/>
          <w:highlight w:val="none"/>
          <w:lang w:val="en-US" w:eastAsia="zh-CN"/>
        </w:rPr>
      </w:pPr>
      <w:r>
        <w:rPr>
          <w:rFonts w:hint="eastAsia" w:asciiTheme="minorEastAsia" w:hAnsiTheme="minorEastAsia"/>
          <w:b/>
          <w:bCs/>
          <w:sz w:val="24"/>
          <w:szCs w:val="24"/>
        </w:rPr>
        <w:t>基于可信执行环境的同态加密计算加速系统</w:t>
      </w:r>
      <w:r>
        <w:rPr>
          <w:rFonts w:hint="eastAsia" w:asciiTheme="minorEastAsia" w:hAnsiTheme="minorEastAsia"/>
          <w:color w:val="auto"/>
          <w:sz w:val="24"/>
          <w:szCs w:val="24"/>
          <w:highlight w:val="none"/>
          <w:lang w:val="en-US" w:eastAsia="zh-CN"/>
        </w:rPr>
        <w:t>。</w:t>
      </w:r>
      <w:r>
        <w:rPr>
          <w:rStyle w:val="19"/>
          <w:rFonts w:hint="eastAsia"/>
          <w:color w:val="auto"/>
          <w:lang w:val="en-US" w:eastAsia="zh-CN"/>
        </w:rPr>
        <w:t>基于可信执行环境的同态加密计算加速系统由客户端与同态计算服务器组成，其中客户端在执行基于TEE的同态加密计算时，主要完成数据加密秘钥生成、用户数据加密/计算结果解密、计算任务生成、与同态计算服务器的交互。同态计算服务器提供基于TEE的同态加密计算服务，根据用户计算任务配置对同态加密计算任务进行优化，实现高效、可靠的加密计算，保护使用中的数据安全。同态计算服务器支持基于TEE技术对部署的同态加密计算应用进行性能优化，显著降低同态加密计算的计算时间与内存消耗。</w:t>
      </w:r>
    </w:p>
    <w:p w14:paraId="71413126">
      <w:pPr>
        <w:adjustRightInd w:val="0"/>
        <w:snapToGrid w:val="0"/>
        <w:spacing w:line="300" w:lineRule="auto"/>
        <w:ind w:firstLine="420" w:firstLineChars="0"/>
        <w:rPr>
          <w:rFonts w:hint="eastAsia" w:asciiTheme="minorEastAsia" w:hAnsiTheme="minorEastAsia"/>
          <w:b w:val="0"/>
          <w:bCs w:val="0"/>
          <w:color w:val="auto"/>
          <w:sz w:val="24"/>
          <w:szCs w:val="24"/>
          <w:highlight w:val="none"/>
          <w:lang w:val="en-US" w:eastAsia="zh-CN"/>
        </w:rPr>
      </w:pPr>
      <w:r>
        <w:rPr>
          <w:rFonts w:hint="eastAsia" w:asciiTheme="minorEastAsia" w:hAnsiTheme="minorEastAsia"/>
          <w:b/>
          <w:bCs/>
          <w:color w:val="auto"/>
          <w:sz w:val="24"/>
          <w:szCs w:val="24"/>
          <w:highlight w:val="none"/>
          <w:lang w:val="en-US" w:eastAsia="zh-CN"/>
        </w:rPr>
        <w:t>具体指标：</w:t>
      </w:r>
      <w:r>
        <w:rPr>
          <w:rFonts w:hint="eastAsia" w:asciiTheme="minorEastAsia" w:hAnsiTheme="minorEastAsia"/>
          <w:b w:val="0"/>
          <w:bCs w:val="0"/>
          <w:color w:val="auto"/>
          <w:sz w:val="24"/>
          <w:szCs w:val="24"/>
          <w:highlight w:val="none"/>
          <w:lang w:val="en-US" w:eastAsia="zh-CN"/>
        </w:rPr>
        <w:t>提升同态加密方法的自适应性，减少同态加密计算时间及内存消耗，对比于不采用可信执行环境的同态加密计算，整体加速系统性能提升 3 个数量级，其中TEE 由海光第三代 CPU服务器支持。</w:t>
      </w:r>
      <w:r>
        <w:rPr>
          <w:rFonts w:hint="eastAsia" w:asciiTheme="minorEastAsia" w:hAnsiTheme="minorEastAsia"/>
          <w:color w:val="auto"/>
          <w:sz w:val="24"/>
          <w:szCs w:val="24"/>
          <w:highlight w:val="none"/>
          <w:lang w:val="en-US" w:eastAsia="zh-CN"/>
        </w:rPr>
        <w:t>评测手段/方法：第三方测试报告（测试方须具有CNAS或CMA等测试资质）。</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http://schemas.openxmlformats.org/wordprocessingml/2006/main">
  <w:comment w:id="0" w:author="合同审查系统" w:date="2026-04-07T07:52:35Z">
    <w:p>
      <w:r>
        <w:t>【问题】条款仅规定“30天完成”，未明确“完成”是指完成测试动作还是验收合格，缺乏对测试结果的实质性约束。
【依据】条款表述“30天完成”，仅设定了时间终点，未将测试周期的结束与“测试合格”或“验收通过”这一实质性结果进行绑定。；验收期限应与验收结果挂钩
【建议】将“完成”修改为“完成测试工作”，并补充“若测试结果不合格，测试周期顺延至整改合格为止”。</w:t>
      </w:r>
    </w:p>
  </w:comment>
  <w:comment w:id="1" w:author="合同审查系统" w:date="2026-04-07T07:52:35Z">
    <w:p>
      <w:r>
        <w:t>【问题】条款使用“参照”一词引入验收指标，而非“依据”或“按照”，导致验收标准对乙方的约束力减弱，存在乙方未达标仍主张合规的风险。
【依据】条款文本表述为“参照”验收指标，而非“依据”或“按照”验收指标。；合同义务表述应当明确具体且具有强制约束力
【建议】将“参照”修改为“依据”。</w:t>
      </w:r>
    </w:p>
  </w:comment>
  <w:comment w:id="2" w:author="合同审查系统" w:date="2026-04-07T07:52:35Z">
    <w:p>
      <w:r>
        <w:t>【问题】条款约定合同签订后甲方即需一次性支付全额检测费用，未将付款进度与乙方履约进度、交付成果或验收结果挂钩。
【依据】条款明确要求甲方在合同签订后30日内一次性支付全部检测费用，未设置任何以乙方提交成果、验收合格或服务进度为前提的付款条件。；付款节点应与履约进度挂钩以保障资金安全
【建议】将“一次性向乙方支付”修改为“支付合同总额的XX%作为预付款，剩余XX%于验收合格后支付”。</w:t>
      </w:r>
    </w:p>
  </w:comment>
  <w:comment w:id="3" w:author="合同审查系统" w:date="2026-04-07T07:52:35Z">
    <w:p>
      <w:r>
        <w:t>【问题】条款约定甲方需提供“乙方所要求的技术资料”，导致甲方的配合义务范围受控于乙方单方意志，缺乏边界限制。
【依据】条款规定甲方需提供“乙方所要求的技术资料”，将提供资料的范围、种类和数量完全交由乙方单方决定，未设置“必要”、“合理”或“双方确认”等限定条件。；义务范围需明确且公平
【建议】修改为“检测所必需的技术资料”。</w:t>
      </w:r>
    </w:p>
  </w:comment>
  <w:comment w:id="4" w:author="合同审查系统" w:date="2026-04-07T07:52:35Z">
    <w:p>
      <w:r>
        <w:t>【问题】条款约定“由乙方独立对送检样品进行验收检测”，排除了甲方参与、见证或监督检测过程的权利。
【依据】条款明确规定验收检测由乙方“独立”进行，未保留甲方在场监督、查看原始数据或对检测过程提出异议的权利。；验收程序应保障委托方的知情权与监督权
【建议】增加“甲方有权对检测过程进行监督”。</w:t>
      </w:r>
    </w:p>
  </w:comment>
  <w:comment w:id="5" w:author="合同审查系统" w:date="2026-04-07T07:52:35Z">
    <w:p>
      <w:r>
        <w:t>【问题】条款规定“不经对方书面许可，任何一方都不得以任何形式向第三方透露”，未设置法律法规、审计、监管等强制披露的例外情形。
【依据】条款原文规定任何形式的第三方披露均需对方书面许可，未保留法律法规要求、审计机构检查、上级主管单位监管等情形下的强制披露通道。；合规义务优先原则
【建议】在“透露”后增加“（但法律法规或监管审计另有规定的除外）”。</w:t>
      </w:r>
    </w:p>
  </w:comment>
  <w:comment w:id="6" w:author="合同审查系统" w:date="2026-04-07T07:52:35Z">
    <w:p>
      <w:r>
        <w:t>【问题】条款规定保密义务“在本合同书到期后3年内继续保持有效”，为保密义务设定了明确的终止期限。
【依据】条款原文明确将保密义务的存续期间限定为合同到期后3年，意味着3年后保密义务自动解除。；商业秘密保护的无期限性
【建议】将“3年”修改为“直至该信息已为公众所知悉时止”。</w:t>
      </w:r>
    </w:p>
  </w:comment>
  <w:comment w:id="7" w:author="合同审查系统" w:date="2026-04-07T07:52:35Z">
    <w:p>
      <w:r>
        <w:t>【问题】条款约定“终止本合同的履行”，而非“解除合同”，导致合同关系是否消灭、是否适用恢复原状（返还预付款）规则产生歧义。
【依据】条款文本使用了“终止本合同的履行”这一表述，而非法律规定的“解除合同”术语。；合同解除的法律后果
【建议】将“终止本合同的履行”修改为“解除本合同”。</w:t>
      </w:r>
    </w:p>
  </w:comment>
  <w:comment w:id="8" w:author="合同审查系统" w:date="2026-04-07T07:52:35Z">
    <w:p>
      <w:r>
        <w:t>【问题】条款将“罢工”明确列为不可抗力事件，导致乙方自身员工罢工也可主张免责，扩大了乙方的免责范围，混淆了商业风险与不可抗力的界限。
【依据】条款文本在不可抗力的列举中明确包含了“罢工”，未区分罢工的主体和性质。；不可抗力的法定定义与商业风险的区分
【建议】删除“罢工”二字。</w:t>
      </w:r>
    </w:p>
  </w:comment>
  <w:comment w:id="9" w:author="合同审查系统" w:date="2026-04-07T07:52:35Z">
    <w:p>
      <w:r>
        <w:t>【问题】条款中“在规定期间内改正”的表述未明确具体时长，赋予乙方单方设定极短改正期限的权利，可能导致甲方因财政支付流程无法在短期内完成付款而被认定违约并解除合同。
【依据】条款仅表述为“规定期间”，未锁定具体的日历天数或工作日天数，实质上将改正期限的长短交由乙方在通知中单方决定。；期限约定不明导致程序权利失衡
【建议】将“在规定期间内改正”修改为“在收到通知之日起15个工作日内改正”。</w:t>
      </w:r>
    </w:p>
  </w:comment>
  <w:comment w:id="10" w:author="合同审查系统" w:date="2026-04-07T07:52:35Z">
    <w:p>
      <w:r>
        <w:t>【问题】条款约定甲方解除合同后，乙方仍需“完成未完成检测”，混淆了“合同解除”与“继续履行”的法律后果，导致甲方无法通过解除合同终止交易关系并委托第三方。
【依据】条款在赋予甲方单方解除权的同时，又强制规定乙方在解除后仍需“完成未完成检测”，构成了“解除合同”与“继续履行义务”的直接逻辑冲突。；合同解除的法律后果
【建议】删除“除乙方应完成未完成检测外”一句。</w:t>
      </w:r>
    </w:p>
  </w:comment>
  <w:comment w:id="11" w:author="合同审查系统" w:date="2026-04-07T07:52:35Z">
    <w:p>
      <w:r>
        <w:t>【问题】条款规定“没有争议的条款，双方应当继续履行”，该表述忽略了技术服务合同中各交付环节（如硬件、软件、集成）通常具有高度耦合性的特点，可能导致甲方在核心争议未决时被迫接受或付款给无效的配套服务。
【依据】条款明确规定“没有争议的条款，双方应当继续履行”，强制要求双方在部分条款存在争议时，必须继续履行其他条款。；履约抗辩权与止损原则
【建议】增加“但争议部分导致合同目的无法实现或影响其他条款履行的除外”。</w:t>
      </w:r>
    </w:p>
  </w:comment>
  <w:comment w:id="12" w:author="合同审查系统" w:date="2026-04-07T07:52:35Z">
    <w:p>
      <w:r>
        <w:t>【问题】合同约定签订后30日内甲方需支付100%款项，而测试周期为受测件接收后30天，导致甲方在乙方完成工作前即已付全款，丧失付款筹码。
【依据】条款 3.u5 约定甲方需在合同签订后30日内一次性支付全额款项；条款 1 约定测试周期为受测件接收后30天。由于受测件接收通常晚于合同签订日，且付款节点未与交付成果挂钩，二者组合导致甲方付款时间早于或同步于乙方交付时间，且付款比例为100%。；付款与交付条件应形成可执行闭环
【建议】增加分阶段付款机制，约定合同签订后支付部分款项（如50%），剩余款项在乙方交付检测报告并经甲方确认无异议后支付。</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4E6659"/>
    <w:multiLevelType w:val="singleLevel"/>
    <w:tmpl w:val="D34E6659"/>
    <w:lvl w:ilvl="0" w:tentative="0">
      <w:start w:val="1"/>
      <w:numFmt w:val="decimal"/>
      <w:lvlText w:val="%1"/>
      <w:lvlJc w:val="left"/>
      <w:pPr>
        <w:tabs>
          <w:tab w:val="left" w:pos="420"/>
        </w:tabs>
        <w:ind w:left="425" w:leftChars="0" w:hanging="425" w:firstLineChars="0"/>
      </w:pPr>
      <w:rPr>
        <w:rFonts w:hint="default"/>
      </w:rPr>
    </w:lvl>
  </w:abstractNum>
  <w:abstractNum w:abstractNumId="1">
    <w:nsid w:val="EC1BBAF2"/>
    <w:multiLevelType w:val="singleLevel"/>
    <w:tmpl w:val="EC1BBAF2"/>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NmMTkxZDRlMTdhMGRmNTAxZWFiMWEwNzViYjRiZjEifQ=="/>
    <w:docVar w:name="KSO_WPS_MARK_KEY" w:val="ce53e644-86ea-4c4c-9528-692946b80789"/>
  </w:docVars>
  <w:rsids>
    <w:rsidRoot w:val="00172A27"/>
    <w:rsid w:val="00001F5C"/>
    <w:rsid w:val="00020179"/>
    <w:rsid w:val="00046F4E"/>
    <w:rsid w:val="00057E4D"/>
    <w:rsid w:val="00062506"/>
    <w:rsid w:val="000646F1"/>
    <w:rsid w:val="000713F4"/>
    <w:rsid w:val="000720F4"/>
    <w:rsid w:val="00076DD1"/>
    <w:rsid w:val="00085F81"/>
    <w:rsid w:val="00091B2E"/>
    <w:rsid w:val="000E4C63"/>
    <w:rsid w:val="00117897"/>
    <w:rsid w:val="00130C6F"/>
    <w:rsid w:val="001331EC"/>
    <w:rsid w:val="00136156"/>
    <w:rsid w:val="001F041E"/>
    <w:rsid w:val="00200F15"/>
    <w:rsid w:val="00202B79"/>
    <w:rsid w:val="00225D36"/>
    <w:rsid w:val="00261EC3"/>
    <w:rsid w:val="002C4D68"/>
    <w:rsid w:val="002D3B9C"/>
    <w:rsid w:val="003C7B43"/>
    <w:rsid w:val="00403E3D"/>
    <w:rsid w:val="00414536"/>
    <w:rsid w:val="00415885"/>
    <w:rsid w:val="00421091"/>
    <w:rsid w:val="00422FE3"/>
    <w:rsid w:val="00437816"/>
    <w:rsid w:val="0045528F"/>
    <w:rsid w:val="0045616F"/>
    <w:rsid w:val="00457AB0"/>
    <w:rsid w:val="00464CB0"/>
    <w:rsid w:val="0048574E"/>
    <w:rsid w:val="00494630"/>
    <w:rsid w:val="00495BC4"/>
    <w:rsid w:val="00497CBE"/>
    <w:rsid w:val="004E53A7"/>
    <w:rsid w:val="004E5692"/>
    <w:rsid w:val="00506C9E"/>
    <w:rsid w:val="005079E7"/>
    <w:rsid w:val="0052260F"/>
    <w:rsid w:val="00546274"/>
    <w:rsid w:val="00561532"/>
    <w:rsid w:val="0056248D"/>
    <w:rsid w:val="005A3FED"/>
    <w:rsid w:val="005D4507"/>
    <w:rsid w:val="005D4899"/>
    <w:rsid w:val="005D6035"/>
    <w:rsid w:val="005E616E"/>
    <w:rsid w:val="005E72F1"/>
    <w:rsid w:val="0062504C"/>
    <w:rsid w:val="0067021F"/>
    <w:rsid w:val="00675AA9"/>
    <w:rsid w:val="00683956"/>
    <w:rsid w:val="00693DD1"/>
    <w:rsid w:val="00696B83"/>
    <w:rsid w:val="006A7C9F"/>
    <w:rsid w:val="006C4CE1"/>
    <w:rsid w:val="006F167C"/>
    <w:rsid w:val="006F57FA"/>
    <w:rsid w:val="00712EBA"/>
    <w:rsid w:val="00735412"/>
    <w:rsid w:val="00740447"/>
    <w:rsid w:val="00750FF6"/>
    <w:rsid w:val="00794270"/>
    <w:rsid w:val="008037C6"/>
    <w:rsid w:val="00860E33"/>
    <w:rsid w:val="008628EB"/>
    <w:rsid w:val="008B0088"/>
    <w:rsid w:val="008E4058"/>
    <w:rsid w:val="008E6FFF"/>
    <w:rsid w:val="008F58A2"/>
    <w:rsid w:val="009074CA"/>
    <w:rsid w:val="009127D7"/>
    <w:rsid w:val="009263CC"/>
    <w:rsid w:val="00930BDD"/>
    <w:rsid w:val="0093520D"/>
    <w:rsid w:val="009674A1"/>
    <w:rsid w:val="0097398B"/>
    <w:rsid w:val="00976D46"/>
    <w:rsid w:val="00990D82"/>
    <w:rsid w:val="009A64C2"/>
    <w:rsid w:val="009C040E"/>
    <w:rsid w:val="009C3B36"/>
    <w:rsid w:val="009D1F97"/>
    <w:rsid w:val="00A007A2"/>
    <w:rsid w:val="00A80819"/>
    <w:rsid w:val="00A90F09"/>
    <w:rsid w:val="00A9199A"/>
    <w:rsid w:val="00AD04E8"/>
    <w:rsid w:val="00AF644C"/>
    <w:rsid w:val="00AF6CB4"/>
    <w:rsid w:val="00B1677B"/>
    <w:rsid w:val="00B2169F"/>
    <w:rsid w:val="00B62117"/>
    <w:rsid w:val="00B70DA6"/>
    <w:rsid w:val="00BB59B3"/>
    <w:rsid w:val="00BB6F70"/>
    <w:rsid w:val="00C456DC"/>
    <w:rsid w:val="00C8343E"/>
    <w:rsid w:val="00C962EC"/>
    <w:rsid w:val="00CB0C92"/>
    <w:rsid w:val="00CD2732"/>
    <w:rsid w:val="00D1558D"/>
    <w:rsid w:val="00D3114E"/>
    <w:rsid w:val="00D41C95"/>
    <w:rsid w:val="00D42E5F"/>
    <w:rsid w:val="00D45A55"/>
    <w:rsid w:val="00D623BC"/>
    <w:rsid w:val="00D73F4A"/>
    <w:rsid w:val="00D77C82"/>
    <w:rsid w:val="00D873E1"/>
    <w:rsid w:val="00D93D1D"/>
    <w:rsid w:val="00DB2A02"/>
    <w:rsid w:val="00DB4312"/>
    <w:rsid w:val="00DC6BD3"/>
    <w:rsid w:val="00DD1EC8"/>
    <w:rsid w:val="00DF298E"/>
    <w:rsid w:val="00E7655D"/>
    <w:rsid w:val="00EB690A"/>
    <w:rsid w:val="00EE5A03"/>
    <w:rsid w:val="00F047BD"/>
    <w:rsid w:val="00F06702"/>
    <w:rsid w:val="00F37271"/>
    <w:rsid w:val="00FD0B46"/>
    <w:rsid w:val="00FD40E4"/>
    <w:rsid w:val="00FD64C8"/>
    <w:rsid w:val="00FE3348"/>
    <w:rsid w:val="018F4054"/>
    <w:rsid w:val="01941B17"/>
    <w:rsid w:val="01A61058"/>
    <w:rsid w:val="02070FF7"/>
    <w:rsid w:val="02671768"/>
    <w:rsid w:val="02C52B97"/>
    <w:rsid w:val="06141F2E"/>
    <w:rsid w:val="064203DF"/>
    <w:rsid w:val="08520F7B"/>
    <w:rsid w:val="08C276F9"/>
    <w:rsid w:val="09AD381B"/>
    <w:rsid w:val="0A943C25"/>
    <w:rsid w:val="0B9D71CF"/>
    <w:rsid w:val="0C8E0A22"/>
    <w:rsid w:val="0D701E19"/>
    <w:rsid w:val="0F326D48"/>
    <w:rsid w:val="0FA20A60"/>
    <w:rsid w:val="109F362B"/>
    <w:rsid w:val="13314BCE"/>
    <w:rsid w:val="134E5375"/>
    <w:rsid w:val="13B730D8"/>
    <w:rsid w:val="13F7133D"/>
    <w:rsid w:val="14136D41"/>
    <w:rsid w:val="14F8424E"/>
    <w:rsid w:val="1577C600"/>
    <w:rsid w:val="16E850EB"/>
    <w:rsid w:val="17D17B97"/>
    <w:rsid w:val="1835782E"/>
    <w:rsid w:val="18E70A84"/>
    <w:rsid w:val="193F7183"/>
    <w:rsid w:val="19420CC3"/>
    <w:rsid w:val="1BF70160"/>
    <w:rsid w:val="1C0A4BE1"/>
    <w:rsid w:val="1D464398"/>
    <w:rsid w:val="1DD32505"/>
    <w:rsid w:val="1E425842"/>
    <w:rsid w:val="1FDF4E20"/>
    <w:rsid w:val="1FF73CD4"/>
    <w:rsid w:val="20E23EC5"/>
    <w:rsid w:val="213612DD"/>
    <w:rsid w:val="21687556"/>
    <w:rsid w:val="217B1B54"/>
    <w:rsid w:val="21926605"/>
    <w:rsid w:val="24CD7795"/>
    <w:rsid w:val="257C3820"/>
    <w:rsid w:val="25C30F87"/>
    <w:rsid w:val="26BF426A"/>
    <w:rsid w:val="29AA34B2"/>
    <w:rsid w:val="29FDBADB"/>
    <w:rsid w:val="2A6E1037"/>
    <w:rsid w:val="2A771D74"/>
    <w:rsid w:val="2AA1140C"/>
    <w:rsid w:val="2AA603B5"/>
    <w:rsid w:val="2AC0107D"/>
    <w:rsid w:val="2BA51F9A"/>
    <w:rsid w:val="2C2803E6"/>
    <w:rsid w:val="2C4701CE"/>
    <w:rsid w:val="2CFF39A3"/>
    <w:rsid w:val="2D4422D2"/>
    <w:rsid w:val="2D5D6D53"/>
    <w:rsid w:val="2DB43204"/>
    <w:rsid w:val="2DE97716"/>
    <w:rsid w:val="2E5F7F8E"/>
    <w:rsid w:val="2FC06971"/>
    <w:rsid w:val="2FE853E7"/>
    <w:rsid w:val="2FF65B39"/>
    <w:rsid w:val="30B43B29"/>
    <w:rsid w:val="30D7574D"/>
    <w:rsid w:val="30ED53AB"/>
    <w:rsid w:val="312E32CE"/>
    <w:rsid w:val="315E02E1"/>
    <w:rsid w:val="319F2CEC"/>
    <w:rsid w:val="35F46460"/>
    <w:rsid w:val="36E52680"/>
    <w:rsid w:val="371B45A9"/>
    <w:rsid w:val="37B74679"/>
    <w:rsid w:val="37BF8C7F"/>
    <w:rsid w:val="37CF2B7C"/>
    <w:rsid w:val="386E6800"/>
    <w:rsid w:val="38726196"/>
    <w:rsid w:val="3AAB5BB3"/>
    <w:rsid w:val="3ADED790"/>
    <w:rsid w:val="3AF244AC"/>
    <w:rsid w:val="3B7A783B"/>
    <w:rsid w:val="3CDE204C"/>
    <w:rsid w:val="3D4C531D"/>
    <w:rsid w:val="3D524049"/>
    <w:rsid w:val="3D666793"/>
    <w:rsid w:val="3DE94C9A"/>
    <w:rsid w:val="3E3E4160"/>
    <w:rsid w:val="3E3F185B"/>
    <w:rsid w:val="3EBD478C"/>
    <w:rsid w:val="3F657A22"/>
    <w:rsid w:val="3FFF6DC3"/>
    <w:rsid w:val="41440D02"/>
    <w:rsid w:val="4145029F"/>
    <w:rsid w:val="41452E04"/>
    <w:rsid w:val="41671363"/>
    <w:rsid w:val="418164BE"/>
    <w:rsid w:val="41ED5183"/>
    <w:rsid w:val="42E7BAA2"/>
    <w:rsid w:val="430204EE"/>
    <w:rsid w:val="47537DC6"/>
    <w:rsid w:val="47FF1762"/>
    <w:rsid w:val="4822778B"/>
    <w:rsid w:val="493F66B2"/>
    <w:rsid w:val="4A0B41AC"/>
    <w:rsid w:val="4A2E2E00"/>
    <w:rsid w:val="4A46477D"/>
    <w:rsid w:val="4B779D13"/>
    <w:rsid w:val="4C1635B0"/>
    <w:rsid w:val="4C3B3017"/>
    <w:rsid w:val="4CCE5724"/>
    <w:rsid w:val="4DC15F36"/>
    <w:rsid w:val="4E501769"/>
    <w:rsid w:val="4FDBF159"/>
    <w:rsid w:val="509E5781"/>
    <w:rsid w:val="50E55FCB"/>
    <w:rsid w:val="5147420C"/>
    <w:rsid w:val="51FC2A4F"/>
    <w:rsid w:val="51FEE602"/>
    <w:rsid w:val="52C553A1"/>
    <w:rsid w:val="52F82D50"/>
    <w:rsid w:val="53211311"/>
    <w:rsid w:val="536C6187"/>
    <w:rsid w:val="53F977FB"/>
    <w:rsid w:val="5441595B"/>
    <w:rsid w:val="54574494"/>
    <w:rsid w:val="549F597D"/>
    <w:rsid w:val="54E939C3"/>
    <w:rsid w:val="573C5E95"/>
    <w:rsid w:val="5765363E"/>
    <w:rsid w:val="57BF17F9"/>
    <w:rsid w:val="57C92FDB"/>
    <w:rsid w:val="57D63C6D"/>
    <w:rsid w:val="583409B5"/>
    <w:rsid w:val="5912522F"/>
    <w:rsid w:val="596E6E7F"/>
    <w:rsid w:val="597343FA"/>
    <w:rsid w:val="599F05E5"/>
    <w:rsid w:val="5B1F4EAD"/>
    <w:rsid w:val="5B4F49FA"/>
    <w:rsid w:val="5B666D61"/>
    <w:rsid w:val="5BA34993"/>
    <w:rsid w:val="5BCD5846"/>
    <w:rsid w:val="5C6E0B4C"/>
    <w:rsid w:val="5C8D7A06"/>
    <w:rsid w:val="5CA01968"/>
    <w:rsid w:val="5F4B3CB6"/>
    <w:rsid w:val="5F4FE90B"/>
    <w:rsid w:val="5F7BB09D"/>
    <w:rsid w:val="5FE7E0BC"/>
    <w:rsid w:val="5FF1B886"/>
    <w:rsid w:val="5FF3295E"/>
    <w:rsid w:val="61CC00DD"/>
    <w:rsid w:val="61DD622E"/>
    <w:rsid w:val="62DF6EB9"/>
    <w:rsid w:val="62E806E7"/>
    <w:rsid w:val="654527E5"/>
    <w:rsid w:val="6583757C"/>
    <w:rsid w:val="668A0FD7"/>
    <w:rsid w:val="681722B1"/>
    <w:rsid w:val="6B5682FF"/>
    <w:rsid w:val="6CAC17A2"/>
    <w:rsid w:val="6D8E46B6"/>
    <w:rsid w:val="6DF70AC9"/>
    <w:rsid w:val="6DF90F99"/>
    <w:rsid w:val="6DFD2D21"/>
    <w:rsid w:val="6EA60949"/>
    <w:rsid w:val="6EF26744"/>
    <w:rsid w:val="6F327F81"/>
    <w:rsid w:val="6F94BC90"/>
    <w:rsid w:val="701E07F0"/>
    <w:rsid w:val="71667127"/>
    <w:rsid w:val="727047CE"/>
    <w:rsid w:val="72A746B3"/>
    <w:rsid w:val="73DA7363"/>
    <w:rsid w:val="73F7E2F4"/>
    <w:rsid w:val="74253392"/>
    <w:rsid w:val="745B7AD8"/>
    <w:rsid w:val="75C93356"/>
    <w:rsid w:val="767C227E"/>
    <w:rsid w:val="768C37E2"/>
    <w:rsid w:val="76BD26F7"/>
    <w:rsid w:val="779007D9"/>
    <w:rsid w:val="77D575CC"/>
    <w:rsid w:val="79F99BAE"/>
    <w:rsid w:val="7A48677B"/>
    <w:rsid w:val="7AF31663"/>
    <w:rsid w:val="7B174FF3"/>
    <w:rsid w:val="7BABF62D"/>
    <w:rsid w:val="7BF57D8D"/>
    <w:rsid w:val="7C0B048F"/>
    <w:rsid w:val="7C1C1384"/>
    <w:rsid w:val="7E5ED257"/>
    <w:rsid w:val="7E9059CF"/>
    <w:rsid w:val="7F1F1E7B"/>
    <w:rsid w:val="7F32420C"/>
    <w:rsid w:val="7F525FEB"/>
    <w:rsid w:val="7F6DCBCD"/>
    <w:rsid w:val="7F7845C3"/>
    <w:rsid w:val="7F925F1C"/>
    <w:rsid w:val="7FB34FB1"/>
    <w:rsid w:val="7FEF45C0"/>
    <w:rsid w:val="7FF0CAA1"/>
    <w:rsid w:val="7FFE469A"/>
    <w:rsid w:val="7FFF18D1"/>
    <w:rsid w:val="AF7B155B"/>
    <w:rsid w:val="B6EFD0A3"/>
    <w:rsid w:val="B7EB1E59"/>
    <w:rsid w:val="BDFBAF86"/>
    <w:rsid w:val="BEEF5912"/>
    <w:rsid w:val="BFEFA500"/>
    <w:rsid w:val="CCFEBA9D"/>
    <w:rsid w:val="D87BFE04"/>
    <w:rsid w:val="E3FE74CE"/>
    <w:rsid w:val="E7EB5D81"/>
    <w:rsid w:val="E7EF2506"/>
    <w:rsid w:val="EB8F2953"/>
    <w:rsid w:val="EFAA9479"/>
    <w:rsid w:val="F1F73E6E"/>
    <w:rsid w:val="F36B0897"/>
    <w:rsid w:val="F7A31BD6"/>
    <w:rsid w:val="F7DD528C"/>
    <w:rsid w:val="F7EFF780"/>
    <w:rsid w:val="F92ECE9C"/>
    <w:rsid w:val="FBBDC187"/>
    <w:rsid w:val="FD7E9CAF"/>
    <w:rsid w:val="FE7665BF"/>
    <w:rsid w:val="FEEFE509"/>
    <w:rsid w:val="FFFDCBEF"/>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qFormat/>
    <w:uiPriority w:val="99"/>
    <w:pPr>
      <w:jc w:val="left"/>
    </w:pPr>
  </w:style>
  <w:style w:type="paragraph" w:styleId="3">
    <w:name w:val="Balloon Text"/>
    <w:basedOn w:val="1"/>
    <w:link w:val="16"/>
    <w:semiHidden/>
    <w:unhideWhenUsed/>
    <w:qFormat/>
    <w:uiPriority w:val="99"/>
    <w:rPr>
      <w:sz w:val="18"/>
      <w:szCs w:val="18"/>
    </w:rPr>
  </w:style>
  <w:style w:type="paragraph" w:styleId="4">
    <w:name w:val="footer"/>
    <w:basedOn w:val="1"/>
    <w:link w:val="18"/>
    <w:unhideWhenUsed/>
    <w:qFormat/>
    <w:uiPriority w:val="99"/>
    <w:pPr>
      <w:tabs>
        <w:tab w:val="center" w:pos="4153"/>
        <w:tab w:val="right" w:pos="8306"/>
      </w:tabs>
      <w:snapToGrid w:val="0"/>
      <w:jc w:val="left"/>
    </w:pPr>
    <w:rPr>
      <w:sz w:val="18"/>
      <w:szCs w:val="18"/>
    </w:rPr>
  </w:style>
  <w:style w:type="paragraph" w:styleId="5">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rPr>
      <w:b/>
      <w:bCs/>
    </w:rPr>
  </w:style>
  <w:style w:type="table" w:styleId="8">
    <w:name w:val="Table Grid"/>
    <w:basedOn w:val="7"/>
    <w:semiHidden/>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Emphasis"/>
    <w:basedOn w:val="9"/>
    <w:qFormat/>
    <w:uiPriority w:val="20"/>
    <w:rPr>
      <w:i/>
      <w:iCs/>
    </w:rPr>
  </w:style>
  <w:style w:type="character" w:styleId="12">
    <w:name w:val="annotation reference"/>
    <w:basedOn w:val="9"/>
    <w:semiHidden/>
    <w:unhideWhenUsed/>
    <w:qFormat/>
    <w:uiPriority w:val="99"/>
    <w:rPr>
      <w:sz w:val="21"/>
      <w:szCs w:val="21"/>
    </w:rPr>
  </w:style>
  <w:style w:type="paragraph" w:styleId="13">
    <w:name w:val="List Paragraph"/>
    <w:basedOn w:val="1"/>
    <w:qFormat/>
    <w:uiPriority w:val="34"/>
    <w:pPr>
      <w:ind w:firstLine="420" w:firstLineChars="200"/>
    </w:pPr>
  </w:style>
  <w:style w:type="character" w:customStyle="1" w:styleId="14">
    <w:name w:val="批注文字 字符"/>
    <w:basedOn w:val="9"/>
    <w:link w:val="2"/>
    <w:semiHidden/>
    <w:qFormat/>
    <w:uiPriority w:val="99"/>
  </w:style>
  <w:style w:type="character" w:customStyle="1" w:styleId="15">
    <w:name w:val="批注主题 字符"/>
    <w:basedOn w:val="14"/>
    <w:link w:val="6"/>
    <w:semiHidden/>
    <w:qFormat/>
    <w:uiPriority w:val="99"/>
    <w:rPr>
      <w:b/>
      <w:bCs/>
    </w:rPr>
  </w:style>
  <w:style w:type="character" w:customStyle="1" w:styleId="16">
    <w:name w:val="批注框文本 字符"/>
    <w:basedOn w:val="9"/>
    <w:link w:val="3"/>
    <w:semiHidden/>
    <w:qFormat/>
    <w:uiPriority w:val="99"/>
    <w:rPr>
      <w:sz w:val="18"/>
      <w:szCs w:val="18"/>
    </w:rPr>
  </w:style>
  <w:style w:type="character" w:customStyle="1" w:styleId="17">
    <w:name w:val="页眉 字符"/>
    <w:basedOn w:val="9"/>
    <w:link w:val="5"/>
    <w:qFormat/>
    <w:uiPriority w:val="99"/>
    <w:rPr>
      <w:sz w:val="18"/>
      <w:szCs w:val="18"/>
    </w:rPr>
  </w:style>
  <w:style w:type="character" w:customStyle="1" w:styleId="18">
    <w:name w:val="页脚 字符"/>
    <w:basedOn w:val="9"/>
    <w:link w:val="4"/>
    <w:qFormat/>
    <w:uiPriority w:val="99"/>
    <w:rPr>
      <w:sz w:val="18"/>
      <w:szCs w:val="18"/>
    </w:rPr>
  </w:style>
  <w:style w:type="character" w:customStyle="1" w:styleId="19">
    <w:name w:val="正文首行缩进 字符"/>
    <w:qFormat/>
    <w:uiPriority w:val="0"/>
    <w:rPr>
      <w:rFonts w:ascii="Times New Roman" w:hAnsi="Times New Roman" w:eastAsia="宋体" w:cs="Times New Roman"/>
      <w:kern w:val="2"/>
      <w:sz w:val="24"/>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Sky123.Org</Company>
  <Pages>4</Pages>
  <Words>2643</Words>
  <Characters>2836</Characters>
  <Lines>7</Lines>
  <Paragraphs>2</Paragraphs>
  <TotalTime>11</TotalTime>
  <ScaleCrop>false</ScaleCrop>
  <LinksUpToDate>false</LinksUpToDate>
  <CharactersWithSpaces>2895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2021-03-23T01:46:00Z</dcterms:created>
  <dc:creator>Administrator</dc:creator>
  <cp:lastModifiedBy>Chenxi</cp:lastModifiedBy>
  <dcterms:modified xsi:type="dcterms:W3CDTF">2026-03-24T09:18:38Z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33CB24467C741845F1E3C16996275D88_43</vt:lpwstr>
  </property>
  <property fmtid="{D5CDD505-2E9C-101B-9397-08002B2CF9AE}" pid="3" name="KSOProductBuildVer">
    <vt:lpwstr>2052-12.1.24031.24031</vt:lpwstr>
  </property>
  <property fmtid="{D5CDD505-2E9C-101B-9397-08002B2CF9AE}" pid="4" name="KSOTemplateDocerSaveRecord">
    <vt:lpwstr>eyJoZGlkIjoiMDc5MTIxYTY4MDdjM2NlZWEwNjgwMWEzMzk4YmYwZGYiLCJ1c2VySWQiOiI0NzA2NDgxNjMifQ==</vt:lpwstr>
  </property>
</Properties>
</file>